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125FD" w14:textId="1F39CF16" w:rsidR="002476FF" w:rsidRPr="0014622D" w:rsidRDefault="00017629" w:rsidP="000D6818">
      <w:pPr>
        <w:pStyle w:val="Heading1"/>
        <w:rPr>
          <w:rFonts w:ascii="Arial" w:hAnsi="Arial"/>
          <w:color w:val="auto"/>
        </w:rPr>
      </w:pPr>
      <w:r w:rsidRPr="0014622D">
        <w:rPr>
          <w:rFonts w:ascii="Arial" w:hAnsi="Arial"/>
          <w:color w:val="auto"/>
        </w:rPr>
        <w:t>Recent</w:t>
      </w:r>
      <w:r w:rsidR="0014622D" w:rsidRPr="0014622D">
        <w:rPr>
          <w:rFonts w:ascii="Arial" w:hAnsi="Arial"/>
          <w:color w:val="auto"/>
        </w:rPr>
        <w:t xml:space="preserve"> failure </w:t>
      </w:r>
      <w:r w:rsidR="00EB7E4F">
        <w:rPr>
          <w:rFonts w:ascii="Arial" w:hAnsi="Arial"/>
          <w:color w:val="auto"/>
        </w:rPr>
        <w:t>to</w:t>
      </w:r>
      <w:r w:rsidR="0014622D" w:rsidRPr="0014622D">
        <w:rPr>
          <w:rFonts w:ascii="Arial" w:hAnsi="Arial"/>
          <w:color w:val="auto"/>
        </w:rPr>
        <w:t xml:space="preserve"> control </w:t>
      </w:r>
      <w:r w:rsidR="00856F56" w:rsidRPr="0014622D">
        <w:rPr>
          <w:rFonts w:ascii="Arial" w:hAnsi="Arial"/>
          <w:color w:val="auto"/>
        </w:rPr>
        <w:t>sea</w:t>
      </w:r>
      <w:r w:rsidR="00856F56">
        <w:rPr>
          <w:rFonts w:ascii="Arial" w:hAnsi="Arial"/>
          <w:color w:val="auto"/>
        </w:rPr>
        <w:t>-</w:t>
      </w:r>
      <w:r w:rsidR="0014622D" w:rsidRPr="0014622D">
        <w:rPr>
          <w:rFonts w:ascii="Arial" w:hAnsi="Arial"/>
          <w:color w:val="auto"/>
        </w:rPr>
        <w:t xml:space="preserve">louse outbreaks </w:t>
      </w:r>
      <w:r w:rsidRPr="0014622D">
        <w:rPr>
          <w:rFonts w:ascii="Arial" w:hAnsi="Arial"/>
          <w:color w:val="auto"/>
        </w:rPr>
        <w:t>on salmon in the Broughton Archipelago, British Columbia</w:t>
      </w:r>
      <w:r w:rsidR="000D6818" w:rsidRPr="0014622D">
        <w:rPr>
          <w:rFonts w:ascii="Arial" w:hAnsi="Arial"/>
          <w:color w:val="auto"/>
        </w:rPr>
        <w:t xml:space="preserve">: </w:t>
      </w:r>
    </w:p>
    <w:p w14:paraId="2826483F" w14:textId="73CCF6E6" w:rsidR="001740D4" w:rsidRPr="0014622D" w:rsidRDefault="00017629" w:rsidP="00506546">
      <w:pPr>
        <w:pStyle w:val="Heading1"/>
        <w:rPr>
          <w:rFonts w:ascii="Arial" w:hAnsi="Arial"/>
          <w:color w:val="auto"/>
        </w:rPr>
      </w:pPr>
      <w:r w:rsidRPr="0014622D">
        <w:rPr>
          <w:rFonts w:ascii="Arial" w:hAnsi="Arial"/>
          <w:color w:val="auto"/>
        </w:rPr>
        <w:t>Supplemental methods and results</w:t>
      </w:r>
    </w:p>
    <w:p w14:paraId="1928BDB5" w14:textId="77777777" w:rsidR="00506546" w:rsidRPr="0014622D" w:rsidRDefault="00506546" w:rsidP="00506546"/>
    <w:p w14:paraId="4B028ED0" w14:textId="77777777" w:rsidR="00506546" w:rsidRPr="00506546" w:rsidRDefault="00506546" w:rsidP="00506546"/>
    <w:p w14:paraId="7A1F5E5A" w14:textId="362215EE" w:rsidR="000D6818" w:rsidRPr="00042F7A" w:rsidRDefault="005C3F38" w:rsidP="009C14B2">
      <w:pPr>
        <w:pStyle w:val="Heading2"/>
      </w:pPr>
      <w:r w:rsidRPr="002B785A">
        <w:t xml:space="preserve">Data of sea </w:t>
      </w:r>
      <w:r w:rsidR="002476FF" w:rsidRPr="002B785A">
        <w:t>lice on wild salmon</w:t>
      </w:r>
    </w:p>
    <w:p w14:paraId="124572A0" w14:textId="20959B68" w:rsidR="007A584A" w:rsidRDefault="007A584A" w:rsidP="00C67406">
      <w:pPr>
        <w:spacing w:line="480" w:lineRule="auto"/>
        <w:ind w:firstLine="576"/>
      </w:pPr>
      <w:r>
        <w:t xml:space="preserve">In 2015, we collected juvenile pink and chum salmon by beach seine and transferred them to buckets containing seawater, from which we haphazardly selected individuals and placed them in clear plastic bags containing seawater.  We identified the life stage (copepodid, chalimus, or motile) of sea lice on each selected fish using a 16 </w:t>
      </w:r>
      <w:r>
        <w:rPr>
          <w:rFonts w:cs="Times New Roman"/>
        </w:rPr>
        <w:t>×</w:t>
      </w:r>
      <w:r>
        <w:t xml:space="preserve"> </w:t>
      </w:r>
      <w:r w:rsidR="005E4924">
        <w:t xml:space="preserve">magnification </w:t>
      </w:r>
      <w:r>
        <w:t>hand lens, and for motile stages we also identified species (</w:t>
      </w:r>
      <w:r>
        <w:rPr>
          <w:i/>
        </w:rPr>
        <w:t>L. salmonis</w:t>
      </w:r>
      <w:r>
        <w:t xml:space="preserve"> or </w:t>
      </w:r>
      <w:r>
        <w:rPr>
          <w:i/>
        </w:rPr>
        <w:t>Caligus clemensi</w:t>
      </w:r>
      <w:r w:rsidR="00B54E14">
        <w:t xml:space="preserve">; </w:t>
      </w:r>
      <w:r w:rsidR="00B54E14">
        <w:fldChar w:fldCharType="begin"/>
      </w:r>
      <w:r w:rsidR="00B54E14">
        <w:instrText xml:space="preserve"> REF _Ref317425842 \h </w:instrText>
      </w:r>
      <w:r w:rsidR="00B54E14">
        <w:fldChar w:fldCharType="separate"/>
      </w:r>
      <w:r w:rsidR="00F43D4D">
        <w:t xml:space="preserve">Fig. S </w:t>
      </w:r>
      <w:r w:rsidR="00F43D4D">
        <w:rPr>
          <w:noProof/>
        </w:rPr>
        <w:t>1</w:t>
      </w:r>
      <w:r w:rsidR="00B54E14">
        <w:fldChar w:fldCharType="end"/>
      </w:r>
      <w:r>
        <w:t>).</w:t>
      </w:r>
      <w:r w:rsidR="00B54E14">
        <w:t xml:space="preserve">  (Copepodid lice can also be identified to species</w:t>
      </w:r>
      <w:r w:rsidR="006B7D80">
        <w:t xml:space="preserve"> using a hand lens</w:t>
      </w:r>
      <w:r w:rsidR="00B54E14">
        <w:t>, although this distinction was ambiguous in early years and so we ignore copepodid species for inter-annual comparisons</w:t>
      </w:r>
      <w:r w:rsidR="004649D4">
        <w:t xml:space="preserve">; see </w:t>
      </w:r>
      <w:r w:rsidR="004649D4">
        <w:fldChar w:fldCharType="begin"/>
      </w:r>
      <w:r w:rsidR="004649D4">
        <w:instrText xml:space="preserve"> REF _Ref317426447 \h </w:instrText>
      </w:r>
      <w:r w:rsidR="004649D4">
        <w:fldChar w:fldCharType="separate"/>
      </w:r>
      <w:r w:rsidR="004649D4">
        <w:t>Annual louse estimates</w:t>
      </w:r>
      <w:r w:rsidR="004649D4">
        <w:fldChar w:fldCharType="end"/>
      </w:r>
      <w:r w:rsidR="004649D4">
        <w:t xml:space="preserve"> for details.</w:t>
      </w:r>
      <w:r w:rsidR="00B54E14">
        <w:t xml:space="preserve">) </w:t>
      </w:r>
      <w:r>
        <w:t xml:space="preserve">After a recovery period, we released the fish at their locations of capture. These monitoring procedures received ethics approval from the </w:t>
      </w:r>
      <w:r>
        <w:rPr>
          <w:rFonts w:eastAsia="Times New Roman" w:cs="Times New Roman"/>
        </w:rPr>
        <w:t>animal care review committee at the University of Alberta.</w:t>
      </w:r>
      <w:r>
        <w:t xml:space="preserve"> In previous years, methodology included using long-handled dip nets to collect salmon (2001-2003) and identification of sea lice under a dissecting microscope (2001-2004).  The detailed sampling and identification methods and their potential biases have been discussed elsewhere </w:t>
      </w:r>
      <w:r>
        <w:fldChar w:fldCharType="begin" w:fldLock="1"/>
      </w:r>
      <w:r w:rsidR="00185B34">
        <w:instrText>ADDIN CSL_CITATION { "citationItems" : [ { "id" : "ITEM-1", "itemData" : { "abstract" : "Industrial salmon farming has been correlated with infestations of parasitic sea lice Lepeophtheirus salmonis in adjacent wild juvenile salmonids and declines of sympatric wild salmonid populations. Prohibitively large financial, human, and logistical resource requirements prevent the implementation of long-term, large-scale monitoring programs to assess the effect of farms on wild salmonids. We report a novel nonlethal sampling procedure for quantifying louse abundances and measures of fish health on wild juvenile pink salmon Oncorhynchus gorbuscha and chum salmon O. keta during their early marine life history phase. The method significantly reduces the resource requirements of sampling programs and provides a desirable nonlethal alternative for studying depressed or threatened populations. The simplicity of the protocol facilitates public participation, further decreasing costs while increasing the potential spatiotemporal coverage and resolution of future research\u2013monitoring programs.", "author" : [ { "dropping-particle" : "", "family" : "Krko\u0161ek", "given" : "Martin", "non-dropping-particle" : "", "parse-names" : false, "suffix" : "" }, { "dropping-particle" : "", "family" : "Morton", "given" : "Alexandra", "non-dropping-particle" : "", "parse-names" : false, "suffix" : "" }, { "dropping-particle" : "", "family" : "Volpe", "given" : "John P.", "non-dropping-particle" : "", "parse-names" : false, "suffix" : "" } ], "container-title" : "Transactions of the American Fisheries Society", "id" : "ITEM-1", "issue" : "3", "issued" : { "date-parts" : [ [ "2005", "5" ] ] }, "page" : "711-716", "title" : "Nonlethal Assessment of Juvenile Pink and Chum Salmon for Parasitic Sea Lice Infections and Fish Health", "type" : "article-journal", "volume" : "134" }, "uris" : [ "http://www.mendeley.com/documents/?uuid=c093e46e-a5d5-4f66-9a6a-ef4987918ed0", "http://www.mendeley.com/documents/?uuid=46ff0baf-8347-4fad-b79b-3839ec12c19e" ] }, { "id" : "ITEM-2", "itemData" : { "ISBN" : "1051-0761", "author" : [ { "dropping-particle" : "", "family" : "Peacock", "given" : "Stephanie Jane", "non-dropping-particle" : "", "parse-names" : false, "suffix" : "" }, { "dropping-particle" : "", "family" : "Krkosek", "given" : "Martin", "non-dropping-particle" : "", "parse-names" : false, "suffix" : "" }, { "dropping-particle" : "", "family" : "Proboszcz", "given" : "Stan", "non-dropping-particle" : "", "parse-names" : false, "suffix" : "" }, { "dropping-particle" : "", "family" : "Orr", "given" : "Craig", "non-dropping-particle" : "", "parse-names" : false, "suffix" : "" }, { "dropping-particle" : "", "family" : "Lewis", "given" : "Mark A", "non-dropping-particle" : "", "parse-names" : false, "suffix" : "" } ], "container-title" : "Ecological Applications", "id" : "ITEM-2", "issued" : { "date-parts" : [ [ "2013" ] ] }, "page" : "606-620", "title" : "Cessation of a salmon decline with control of parasites", "type" : "article-journal", "volume" : "23" }, "uris" : [ "http://www.mendeley.com/documents/?uuid=b7ab06f1-d2cd-4e41-8a04-5a25c2f9d04b", "http://www.mendeley.com/documents/?uuid=c4521081-9fa5-456a-b35f-299d9cb07144" ] }, { "id" : "ITEM-3", "itemData" : { "ISBN" : "0275-5947", "ISSN" : "0275-5947", "abstract" : "We report on a 3-year study of the infestation rates of the sea louse, Lepeophtheirus salmonis, on wild juvenile pink salmon Oncorhynchus gorbuscha and chum salmon O. keta in the Broughton Archipelago, British Columbia. In 2002, the British Columbia Ministry of Agriculture, Fisheries, and Food ordered farm fallowing (i.e., the removal of farmed Atlantic salmon Salmo salar from net-cages) along the presumed migration route of wild juvenile Pacific salmon in this area. The goal was to protect wild juvenile fish from sea louse infestation. We assessed the effectiveness of this decision by comparing sea louse infestation rates on wild juvenile salmon near three Atlantic salmon farm sites prior to, during, and after fallowing. Overall, L. salmonis levels were significantly reduced (P ? 0.0001) at the study sites during fallowing but returned to the original level after fallowing. The decline was age specific. While the abundance of the earliest attached sea louse phase (the copepodid stage) declined by a factor of 42, the mean abundance of adult L. salmonis did not decline significantly. Changes in salinity and temperature could not account for the decline. This study provides evidence that the fallowing of Atlantic salmon farms during spring juvenile salmon migrations can be an effective conservation and management tool for protecting wild salmon. While this correlation adds to the increasing weight of evidence linking Atlantic salmon farms to increased parasite loads on wild salmon, greater cooperation between researchers and farmers will be necessary to isolate the causal mechanisms and provide safe seaward passage to wild juvenile salmon.", "author" : [ { "dropping-particle" : "", "family" : "Morton", "given" : "Alexandra", "non-dropping-particle" : "", "parse-names" : false, "suffix" : "" }, { "dropping-particle" : "", "family" : "Routledge", "given" : "Richard D.", "non-dropping-particle" : "", "parse-names" : false, "suffix" : "" }, { "dropping-particle" : "", "family" : "Williams", "given" : "Rob", "non-dropping-particle" : "", "parse-names" : false, "suffix" : "" } ], "container-title" : "North American Journal of Fisheries Management", "id" : "ITEM-3", "issue" : "25", "issued" : { "date-parts" : [ [ "2005", "8" ] ] }, "page" : "811-821", "title" : "Temporal Patterns of Sea Louse Infestation on Wild Pacific Salmon in Relation to the Fallowing of Atlantic Salmon Farms", "type" : "article-journal", "volume" : "5947" }, "uris" : [ "http://www.mendeley.com/documents/?uuid=a8a7810a-0b45-4594-a25a-79625b06367c" ] }, { "id" : "ITEM-4", "itemData" : { "author" : [ { "dropping-particle" : "", "family" : "Morton", "given" : "Alexandra B", "non-dropping-particle" : "", "parse-names" : false, "suffix" : "" }, { "dropping-particle" : "", "family" : "Williams", "given" : "Rob", "non-dropping-particle" : "", "parse-names" : false, "suffix" : "" } ], "container-title" : "Canadian Field-Naturalist", "id" : "ITEM-4", "issue" : "4", "issued" : { "date-parts" : [ [ "2003" ] ] }, "page" : "634-641", "title" : "First Report of a Sea Louse, &lt;i&gt;Lepeophtheirus salmonis&lt;/i&gt;, Infestation on Juvenile Pink Salmon,&lt;i&gt;Oncorhynchus gorbuscha&lt;/i&gt;, in Nearshore Habitat", "type" : "article-journal", "volume" : "117" }, "uris" : [ "http://www.mendeley.com/documents/?uuid=dc02890c-7b9e-4564-b0a1-2b00df8be41c" ] } ], "mendeley" : { "formattedCitation" : "(Morton and Williams 2003, Krko\u0161ek et al. 2005, Morton et al. 2005, Peacock et al. 2013)", "plainTextFormattedCitation" : "(Morton and Williams 2003, Krko\u0161ek et al. 2005, Morton et al. 2005, Peacock et al. 2013)", "previouslyFormattedCitation" : "(Morton and Williams 2003, Krko\u0161ek et al. 2005, Morton et al. 2005, Peacock et al. 2013)" }, "properties" : { "noteIndex" : 0 }, "schema" : "https://github.com/citation-style-language/schema/raw/master/csl-citation.json" }</w:instrText>
      </w:r>
      <w:r>
        <w:fldChar w:fldCharType="separate"/>
      </w:r>
      <w:r w:rsidR="00892A65" w:rsidRPr="00892A65">
        <w:rPr>
          <w:noProof/>
        </w:rPr>
        <w:t>(Morton and Williams 2003, Krkošek et al. 2005, Morton et al. 2005, Peacock et al. 2013)</w:t>
      </w:r>
      <w:r>
        <w:fldChar w:fldCharType="end"/>
      </w:r>
      <w:r>
        <w:t>.</w:t>
      </w:r>
    </w:p>
    <w:p w14:paraId="65543A90" w14:textId="77777777" w:rsidR="00B54E14" w:rsidRDefault="00B54E14" w:rsidP="00B54E14">
      <w:pPr>
        <w:keepNext/>
        <w:spacing w:line="480" w:lineRule="auto"/>
        <w:jc w:val="center"/>
      </w:pPr>
      <w:r>
        <w:rPr>
          <w:noProof/>
        </w:rPr>
        <w:lastRenderedPageBreak/>
        <w:drawing>
          <wp:inline distT="0" distB="0" distL="0" distR="0" wp14:anchorId="1C3A2C06" wp14:editId="154F2141">
            <wp:extent cx="3709325" cy="2548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se_id_tree.pdf"/>
                    <pic:cNvPicPr/>
                  </pic:nvPicPr>
                  <pic:blipFill>
                    <a:blip r:embed="rId9">
                      <a:extLst>
                        <a:ext uri="{28A0092B-C50C-407E-A947-70E740481C1C}">
                          <a14:useLocalDpi xmlns:a14="http://schemas.microsoft.com/office/drawing/2010/main" val="0"/>
                        </a:ext>
                      </a:extLst>
                    </a:blip>
                    <a:stretch>
                      <a:fillRect/>
                    </a:stretch>
                  </pic:blipFill>
                  <pic:spPr>
                    <a:xfrm>
                      <a:off x="0" y="0"/>
                      <a:ext cx="3709325" cy="2548145"/>
                    </a:xfrm>
                    <a:prstGeom prst="rect">
                      <a:avLst/>
                    </a:prstGeom>
                  </pic:spPr>
                </pic:pic>
              </a:graphicData>
            </a:graphic>
          </wp:inline>
        </w:drawing>
      </w:r>
    </w:p>
    <w:p w14:paraId="78E4E765" w14:textId="6395DA25" w:rsidR="00BD4366" w:rsidRPr="00BD4366" w:rsidRDefault="00B54E14" w:rsidP="009F4110">
      <w:pPr>
        <w:pStyle w:val="Caption"/>
        <w:spacing w:line="240" w:lineRule="auto"/>
      </w:pPr>
      <w:bookmarkStart w:id="0" w:name="_Ref317425842"/>
      <w:r>
        <w:t xml:space="preserve">Fig. S </w:t>
      </w:r>
      <w:fldSimple w:instr=" SEQ Figure_S \* ARABIC ">
        <w:r w:rsidR="001D280A">
          <w:rPr>
            <w:noProof/>
          </w:rPr>
          <w:t>1</w:t>
        </w:r>
      </w:fldSimple>
      <w:bookmarkEnd w:id="0"/>
      <w:r>
        <w:t xml:space="preserve">. The different louse stages and species identified during wild salmon monitoring. The categories </w:t>
      </w:r>
      <w:r w:rsidR="00D4720F">
        <w:t>are color-coded to show which were included in the estimates shown in Figs 1 and S</w:t>
      </w:r>
      <w:r w:rsidR="00B80125">
        <w:t xml:space="preserve"> </w:t>
      </w:r>
      <w:r w:rsidR="00E10DE5">
        <w:t>5</w:t>
      </w:r>
      <w:r w:rsidR="00D4720F">
        <w:t>: blue = motiles, red = chalimus, yellow = copepodid.</w:t>
      </w:r>
    </w:p>
    <w:p w14:paraId="09E752FE" w14:textId="0C595F95" w:rsidR="00F23FC8" w:rsidRPr="002B785A" w:rsidRDefault="005E4924" w:rsidP="009F4110">
      <w:pPr>
        <w:pStyle w:val="Heading2"/>
        <w:ind w:left="578" w:hanging="578"/>
      </w:pPr>
      <w:bookmarkStart w:id="1" w:name="_Ref317426447"/>
      <w:r w:rsidRPr="002B785A">
        <w:t>Annual louse estimates</w:t>
      </w:r>
      <w:bookmarkEnd w:id="1"/>
    </w:p>
    <w:p w14:paraId="16FADFB9" w14:textId="6DA2219E" w:rsidR="005E4924" w:rsidRDefault="005E4924" w:rsidP="002476FF">
      <w:pPr>
        <w:spacing w:line="480" w:lineRule="auto"/>
        <w:ind w:firstLine="576"/>
      </w:pPr>
      <w:r>
        <w:t>We used model-based estimates of louse abundance, rather than simply calculating the average louse abundance, because the period of sampling was different among years and li</w:t>
      </w:r>
      <w:r w:rsidR="00185B34">
        <w:t xml:space="preserve">kely affected louse abundances </w:t>
      </w:r>
      <w:r w:rsidR="00185B34">
        <w:fldChar w:fldCharType="begin" w:fldLock="1"/>
      </w:r>
      <w:r w:rsidR="00185B34">
        <w:instrText>ADDIN CSL_CITATION { "citationItems" : [ { "id" : "ITEM-1", "itemData" : { "ISSN" : "0921-2973", "author" : [ { "dropping-particle" : "", "family" : "Rees", "given" : "Erin E. E.", "non-dropping-particle" : "", "parse-names" : false, "suffix" : "" }, { "dropping-particle" : "", "family" : "St.-Hilaire", "given" : "Sophie", "non-dropping-particle" : "", "parse-names" : false, "suffix" : "" }, { "dropping-particle" : "", "family" : "Jones", "given" : "Simon R M R M", "non-dropping-particle" : "", "parse-names" : false, "suffix" : "" }, { "dropping-particle" : "", "family" : "Krkosek", "given" : "Martin", "non-dropping-particle" : "", "parse-names" : false, "suffix" : "" }, { "dropping-particle" : "", "family" : "DeDominicis", "given" : "Sharon", "non-dropping-particle" : "", "parse-names" : false, "suffix" : "" }, { "dropping-particle" : "", "family" : "Foreman", "given" : "Michael G. G. G. G.", "non-dropping-particle" : "", "parse-names" : false, "suffix" : "" }, { "dropping-particle" : "", "family" : "Patanasatienkul", "given" : "Thitiwan", "non-dropping-particle" : "", "parse-names" : false, "suffix" : "" }, { "dropping-particle" : "", "family" : "Revie", "given" : "Crawford W. W.", "non-dropping-particle" : "", "parse-names" : false, "suffix" : "" }, { "dropping-particle" : "", "family" : "St-Hilaire", "given" : "S", "non-dropping-particle" : "", "parse-names" : false, "suffix" : "" }, { "dropping-particle" : "", "family" : "Jones", "given" : "Simon R M R M", "non-dropping-particle" : "", "parse-names" : false, "suffix" : "" }, { "dropping-particle" : "", "family" : "Krko\u0161ek", "given" : "M", "non-dropping-particle" : "", "parse-names" : false, "suffix" : "" }, { "dropping-particle" : "", "family" : "DeDominicis", "given" : "Sharon", "non-dropping-particle" : "", "parse-names" : false, "suffix" : "" }, { "dropping-particle" : "", "family" : "Foreman", "given" : "Michael G. G. G. G.", "non-dropping-particle" : "", "parse-names" : false, "suffix" : "" }, { "dropping-particle" : "", "family" : "Patanasatienkul", "given" : "Thitiwan", "non-dropping-particle" : "", "parse-names" : false, "suffix" : "" }, { "dropping-particle" : "", "family" : "Revie", "given" : "Crawford W. W.", "non-dropping-particle" : "", "parse-names" : false, "suffix" : "" } ], "container-title" : "Landscape Ecology", "id" : "ITEM-1", "issued" : { "date-parts" : [ [ "2015" ] ] }, "language" : "English", "page" : "989-1004", "title" : "Spatial patterns of sea lice infection among wild and captive salmon in western Canada", "type" : "article-journal", "volume" : "30" }, "uris" : [ "http://www.mendeley.com/documents/?uuid=3a4a9986-df97-46a8-aeb2-ac7a43e0b623" ] }, { "id" : "ITEM-2", "itemData" : { "ISSN" : "01675877", "PMID" : "25869117", "abstract" : "Sea lice infestation levels on wild chum and pink salmon in the Broughton Archipelago region are known to vary spatially and temporally; however, the locations of areas associated with a high infestation level had not been investigated yet. In the present study, the multivariate spatial scan statistic based on a Poisson model was used to assess spatial clustering of elevated sea lice (. Caligus clemensi and Lepeophtheirus salmonis) infestation levels on wild chum and pink salmon sampled between March and July of 2004 to 2012 in the Broughton Archipelago and Knight Inlet regions of British Columbia, Canada. Three covariates, seine type (beach and purse seining), fish size, and year effect, were used to provide adjustment within the analyses. The analyses were carried out across the five months/datasets and between two fish species to assess the consistency of the identified clusters. Sea lice stages were explored separately for the early life stages (non-motile) and the late life stages of sea lice (motile). Spatial patterns in fish migration were also explored using monthly plots showing the average number of each fish species captured per sampling site. The results revealed three clusters for non-motile C. clemensi, two clusters for non-motile L. salmonis, and one cluster for the motile stage in each of the sea lice species. In general, the location and timing of clusters detected for both fish species were similar. Early in the season, the clusters of elevated sea lice infestation levels on wild fish are detected in areas closer to the rivers, with decreasing relative risks as the season progresses. Clusters were detected further from the estuaries later in the season, accompanied by increasing relative risks. In addition, the plots for fish migration exhibit similar patterns for both fish species in that, as expected, the juveniles move from the rivers toward the open ocean as the season progresses The identification of space-time clustering of infestation on wild fish from this study can help in targeting investigations of factors associated with these infestations and thereby support the development of more effective sea lice control measures.", "author" : [ { "dropping-particle" : "", "family" : "Patanasatienkul", "given" : "Thitiwan", "non-dropping-particle" : "", "parse-names" : false, "suffix" : "" }, { "dropping-particle" : "", "family" : "Sanchez", "given" : "Javier", "non-dropping-particle" : "", "parse-names" : false, "suffix" : "" }, { "dropping-particle" : "", "family" : "Rees", "given" : "Erin E.", "non-dropping-particle" : "", "parse-names" : false, "suffix" : "" }, { "dropping-particle" : "", "family" : "Pfeiffer", "given" : "Dirk", "non-dropping-particle" : "", "parse-names" : false, "suffix" : "" }, { "dropping-particle" : "", "family" : "Revie", "given" : "Crawford W.", "non-dropping-particle" : "", "parse-names" : false, "suffix" : "" } ], "container-title" : "Preventive Veterinary Medicine", "id" : "ITEM-2", "issue" : "2", "issued" : { "date-parts" : [ [ "2015" ] ] }, "page" : "219-231", "publisher" : "Elsevier B.V.", "title" : "Space-time cluster analysis of sea lice infestation (Caligus clemensi and Lepeophtheirus salmonis) on wild juvenile Pacific salmon in the Broughton Archipelago of Canada", "type" : "article-journal", "volume" : "120" }, "uris" : [ "http://www.mendeley.com/documents/?uuid=bd11818c-7da3-4a82-b006-f970116ab8bd" ] } ], "mendeley" : { "formattedCitation" : "(Patanasatienkul et al. 2015, Rees et al. 2015)", "plainTextFormattedCitation" : "(Patanasatienkul et al. 2015, Rees et al. 2015)", "previouslyFormattedCitation" : "(Rees et al. 2015)" }, "properties" : { "noteIndex" : 0 }, "schema" : "https://github.com/citation-style-language/schema/raw/master/csl-citation.json" }</w:instrText>
      </w:r>
      <w:r w:rsidR="00185B34">
        <w:fldChar w:fldCharType="separate"/>
      </w:r>
      <w:r w:rsidR="00185B34" w:rsidRPr="00185B34">
        <w:rPr>
          <w:noProof/>
        </w:rPr>
        <w:t>(</w:t>
      </w:r>
      <w:r w:rsidR="00185B34">
        <w:t xml:space="preserve">there tend to be fewer sea lice on juvenile salmon at the beginning and end of the migration period; </w:t>
      </w:r>
      <w:r w:rsidR="00185B34" w:rsidRPr="00185B34">
        <w:rPr>
          <w:noProof/>
        </w:rPr>
        <w:t>Patanasatienkul et al. 2015, Rees et al. 2015)</w:t>
      </w:r>
      <w:r w:rsidR="00185B34">
        <w:fldChar w:fldCharType="end"/>
      </w:r>
      <w:r>
        <w:t>. Using a hierarchical model, we were able to account for sampling week as a random effect and thus minimize the bias introduced by different sampling windows.</w:t>
      </w:r>
      <w:r w:rsidR="002126A3">
        <w:t xml:space="preserve"> For the summary of 2015 data only, this inter-annual bias was not an issue, so we simply bootstrapped confidence intervals on the mean number of sea lice (see</w:t>
      </w:r>
      <w:r w:rsidR="00C113F5">
        <w:t xml:space="preserve"> Details of the 2015 e</w:t>
      </w:r>
      <w:bookmarkStart w:id="2" w:name="_GoBack"/>
      <w:bookmarkEnd w:id="2"/>
      <w:r w:rsidR="00C113F5">
        <w:t>pizootic, below)</w:t>
      </w:r>
      <w:r w:rsidR="002126A3">
        <w:t>.</w:t>
      </w:r>
    </w:p>
    <w:p w14:paraId="183EBA50" w14:textId="43FFF434" w:rsidR="005E4924" w:rsidRPr="00D4720F" w:rsidRDefault="005E4924" w:rsidP="00D4720F">
      <w:pPr>
        <w:spacing w:line="480" w:lineRule="auto"/>
        <w:ind w:firstLine="576"/>
      </w:pPr>
      <w:r>
        <w:t xml:space="preserve">In the main text, we present model estimates of motile </w:t>
      </w:r>
      <w:r w:rsidRPr="005C3F38">
        <w:rPr>
          <w:i/>
        </w:rPr>
        <w:t>L. salmonis</w:t>
      </w:r>
      <w:r>
        <w:t xml:space="preserve"> per wild juvenile salmon (Fig. 1). </w:t>
      </w:r>
      <w:r w:rsidR="007E69B4">
        <w:t xml:space="preserve">These estimates were subsetted from a model that included other stages of </w:t>
      </w:r>
      <w:r w:rsidR="007E69B4">
        <w:rPr>
          <w:i/>
        </w:rPr>
        <w:t xml:space="preserve">L. </w:t>
      </w:r>
      <w:r w:rsidR="007E69B4" w:rsidRPr="007E69B4">
        <w:rPr>
          <w:i/>
        </w:rPr>
        <w:t>salmonis</w:t>
      </w:r>
      <w:r w:rsidR="007E69B4">
        <w:t xml:space="preserve">. </w:t>
      </w:r>
      <w:r w:rsidRPr="007E69B4">
        <w:t>Here</w:t>
      </w:r>
      <w:r>
        <w:t>, we present the abundance of</w:t>
      </w:r>
      <w:r w:rsidR="007E69B4">
        <w:t xml:space="preserve"> those</w:t>
      </w:r>
      <w:r>
        <w:t xml:space="preserve"> different</w:t>
      </w:r>
      <w:r w:rsidR="003A56B9">
        <w:t xml:space="preserve"> </w:t>
      </w:r>
      <w:r>
        <w:t xml:space="preserve">stages </w:t>
      </w:r>
      <w:r w:rsidR="007E69B4">
        <w:t>as well as the</w:t>
      </w:r>
      <w:r>
        <w:t xml:space="preserve"> prevalence </w:t>
      </w:r>
      <w:r w:rsidR="00D4720F">
        <w:t xml:space="preserve">of </w:t>
      </w:r>
      <w:r w:rsidR="00D4720F">
        <w:rPr>
          <w:i/>
        </w:rPr>
        <w:t>L. salmonis</w:t>
      </w:r>
      <w:r>
        <w:t xml:space="preserve">. </w:t>
      </w:r>
      <w:r w:rsidR="00D4720F" w:rsidRPr="00D4720F">
        <w:t xml:space="preserve">In </w:t>
      </w:r>
      <w:r w:rsidR="00D4720F">
        <w:t xml:space="preserve">estimating the abundance of different stages, we assumed that unidentified copepodids and unidentified adults (the majority of which were from </w:t>
      </w:r>
      <w:r w:rsidR="00393C49">
        <w:t>2001</w:t>
      </w:r>
      <w:r w:rsidR="00D4720F">
        <w:t>)</w:t>
      </w:r>
      <w:r w:rsidR="00D4720F" w:rsidRPr="00D4720F">
        <w:t xml:space="preserve"> </w:t>
      </w:r>
      <w:r w:rsidR="00D4720F">
        <w:t xml:space="preserve">were </w:t>
      </w:r>
      <w:r w:rsidR="00D4720F" w:rsidRPr="00D4720F">
        <w:rPr>
          <w:i/>
        </w:rPr>
        <w:t>L. salmonis</w:t>
      </w:r>
      <w:r w:rsidR="00D4720F">
        <w:rPr>
          <w:i/>
        </w:rPr>
        <w:t xml:space="preserve"> </w:t>
      </w:r>
      <w:r w:rsidR="00D4720F">
        <w:lastRenderedPageBreak/>
        <w:t>(</w:t>
      </w:r>
      <w:r w:rsidR="00D4720F">
        <w:fldChar w:fldCharType="begin"/>
      </w:r>
      <w:r w:rsidR="00D4720F">
        <w:instrText xml:space="preserve"> REF _Ref317425842 \h </w:instrText>
      </w:r>
      <w:r w:rsidR="00D4720F">
        <w:fldChar w:fldCharType="separate"/>
      </w:r>
      <w:r w:rsidR="00D4720F">
        <w:t xml:space="preserve">Fig. S </w:t>
      </w:r>
      <w:r w:rsidR="00D4720F">
        <w:rPr>
          <w:noProof/>
        </w:rPr>
        <w:t>1</w:t>
      </w:r>
      <w:r w:rsidR="00D4720F">
        <w:fldChar w:fldCharType="end"/>
      </w:r>
      <w:r w:rsidR="00D4720F">
        <w:t>)</w:t>
      </w:r>
      <w:r w:rsidR="00D4720F">
        <w:rPr>
          <w:i/>
        </w:rPr>
        <w:t xml:space="preserve">. </w:t>
      </w:r>
      <w:r w:rsidR="00D4720F">
        <w:t>P</w:t>
      </w:r>
      <w:r w:rsidR="00393E49">
        <w:t xml:space="preserve">ublished </w:t>
      </w:r>
      <w:r w:rsidR="00393C49">
        <w:t xml:space="preserve">reports (Morton and Williams 2003) and trends in the proportion of motile lice that are </w:t>
      </w:r>
      <w:r w:rsidR="00393C49">
        <w:rPr>
          <w:i/>
        </w:rPr>
        <w:t>L. salmonis</w:t>
      </w:r>
      <w:r w:rsidR="00393E49">
        <w:rPr>
          <w:i/>
        </w:rPr>
        <w:t xml:space="preserve"> </w:t>
      </w:r>
      <w:r w:rsidR="00393E49" w:rsidRPr="009C14B2">
        <w:t xml:space="preserve">over the total abundance of motile </w:t>
      </w:r>
      <w:r w:rsidR="00393E49" w:rsidRPr="00406C45">
        <w:t>lice</w:t>
      </w:r>
      <w:r w:rsidR="00393C49" w:rsidRPr="00406C45">
        <w:t xml:space="preserve"> </w:t>
      </w:r>
      <w:r w:rsidR="00462E74" w:rsidRPr="00406C45">
        <w:t>(</w:t>
      </w:r>
      <w:r w:rsidR="00C67406" w:rsidRPr="00406C45">
        <w:fldChar w:fldCharType="begin"/>
      </w:r>
      <w:r w:rsidR="00C67406" w:rsidRPr="00406C45">
        <w:instrText xml:space="preserve"> REF _Ref317421306 \h </w:instrText>
      </w:r>
      <w:r w:rsidR="00C67406" w:rsidRPr="00406C45">
        <w:fldChar w:fldCharType="separate"/>
      </w:r>
      <w:r w:rsidR="00D4396F" w:rsidRPr="00406C45">
        <w:t xml:space="preserve">Fig. S </w:t>
      </w:r>
      <w:r w:rsidR="00D4396F" w:rsidRPr="00406C45">
        <w:rPr>
          <w:noProof/>
        </w:rPr>
        <w:t>2</w:t>
      </w:r>
      <w:r w:rsidR="00C67406" w:rsidRPr="00406C45">
        <w:fldChar w:fldCharType="end"/>
      </w:r>
      <w:r w:rsidR="00C67406" w:rsidRPr="00406C45">
        <w:t>)</w:t>
      </w:r>
      <w:r w:rsidR="00462E74" w:rsidRPr="00406C45">
        <w:t xml:space="preserve"> </w:t>
      </w:r>
      <w:r w:rsidR="00393C49" w:rsidRPr="00406C45">
        <w:t>suggest</w:t>
      </w:r>
      <w:r w:rsidR="00393C49">
        <w:t xml:space="preserve"> that it is fair to assume that </w:t>
      </w:r>
      <w:r w:rsidR="00D4720F">
        <w:t>the</w:t>
      </w:r>
      <w:r w:rsidR="00393E49">
        <w:t xml:space="preserve"> unidentified</w:t>
      </w:r>
      <w:r w:rsidR="00393C49">
        <w:t xml:space="preserve"> </w:t>
      </w:r>
      <w:r w:rsidR="009A5D2E">
        <w:t>lice</w:t>
      </w:r>
      <w:r w:rsidR="00393C49">
        <w:t xml:space="preserve"> were mainly </w:t>
      </w:r>
      <w:r w:rsidR="00393C49">
        <w:rPr>
          <w:i/>
        </w:rPr>
        <w:t>L. salmonis</w:t>
      </w:r>
      <w:r w:rsidR="00172857">
        <w:t>, and it is the simplest assumption we can make.  The interannual trends were affected little by different assumptions, since the number of lice that were unidentified in years other than 2001 was low</w:t>
      </w:r>
      <w:r w:rsidR="00393C49">
        <w:rPr>
          <w:i/>
        </w:rPr>
        <w:t>.</w:t>
      </w:r>
      <w:r w:rsidR="00393C49">
        <w:t xml:space="preserve"> </w:t>
      </w:r>
      <w:r w:rsidR="0073068E">
        <w:t>W</w:t>
      </w:r>
      <w:r w:rsidR="00D4720F">
        <w:t xml:space="preserve">e were not able to identify </w:t>
      </w:r>
      <w:r w:rsidR="0073068E">
        <w:t xml:space="preserve">chalimus-stage sea </w:t>
      </w:r>
      <w:r w:rsidR="00D4720F">
        <w:t xml:space="preserve">lice to species using a hand lens, and so the estimates of chalimus may be biased high by the inclusion of some </w:t>
      </w:r>
      <w:r w:rsidR="00D4720F">
        <w:rPr>
          <w:i/>
        </w:rPr>
        <w:t xml:space="preserve">Caligus </w:t>
      </w:r>
      <w:r w:rsidR="00D4720F">
        <w:t>lice. This is an unavoidable consequence of our live sampling methodology, and is why we report the abundance of motiles only in the main text.</w:t>
      </w:r>
    </w:p>
    <w:p w14:paraId="15B7D90D" w14:textId="77777777" w:rsidR="005C3F38" w:rsidRDefault="005C3F38" w:rsidP="006E06F2">
      <w:pPr>
        <w:keepNext/>
        <w:spacing w:line="480" w:lineRule="auto"/>
        <w:jc w:val="center"/>
      </w:pPr>
      <w:r>
        <w:rPr>
          <w:noProof/>
        </w:rPr>
        <w:drawing>
          <wp:inline distT="0" distB="0" distL="0" distR="0" wp14:anchorId="691FE2D7" wp14:editId="0CF1B84D">
            <wp:extent cx="416560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Leps2001.pdf"/>
                    <pic:cNvPicPr/>
                  </pic:nvPicPr>
                  <pic:blipFill>
                    <a:blip r:embed="rId10">
                      <a:extLst>
                        <a:ext uri="{28A0092B-C50C-407E-A947-70E740481C1C}">
                          <a14:useLocalDpi xmlns:a14="http://schemas.microsoft.com/office/drawing/2010/main" val="0"/>
                        </a:ext>
                      </a:extLst>
                    </a:blip>
                    <a:stretch>
                      <a:fillRect/>
                    </a:stretch>
                  </pic:blipFill>
                  <pic:spPr>
                    <a:xfrm>
                      <a:off x="0" y="0"/>
                      <a:ext cx="4165600" cy="3124200"/>
                    </a:xfrm>
                    <a:prstGeom prst="rect">
                      <a:avLst/>
                    </a:prstGeom>
                  </pic:spPr>
                </pic:pic>
              </a:graphicData>
            </a:graphic>
          </wp:inline>
        </w:drawing>
      </w:r>
    </w:p>
    <w:p w14:paraId="1E574F66" w14:textId="3A8DE5CF" w:rsidR="005C3F38" w:rsidRPr="005C3F38" w:rsidRDefault="005C3F38" w:rsidP="006377A4">
      <w:pPr>
        <w:pStyle w:val="Caption"/>
        <w:spacing w:line="240" w:lineRule="auto"/>
      </w:pPr>
      <w:bookmarkStart w:id="3" w:name="_Ref317421306"/>
      <w:r>
        <w:t xml:space="preserve">Fig. S </w:t>
      </w:r>
      <w:fldSimple w:instr=" SEQ Figure_S \* ARABIC ">
        <w:r w:rsidR="001D280A">
          <w:rPr>
            <w:noProof/>
          </w:rPr>
          <w:t>2</w:t>
        </w:r>
      </w:fldSimple>
      <w:bookmarkEnd w:id="3"/>
      <w:r>
        <w:t xml:space="preserve">. The mean proportion of motiles that were </w:t>
      </w:r>
      <w:r>
        <w:rPr>
          <w:i/>
        </w:rPr>
        <w:t>L. salmonis</w:t>
      </w:r>
      <w:r>
        <w:t xml:space="preserve"> (y-axis) </w:t>
      </w:r>
      <w:r w:rsidR="00381EFD">
        <w:t>increased with</w:t>
      </w:r>
      <w:r>
        <w:t xml:space="preserve"> the mean number of motiles of all species</w:t>
      </w:r>
      <w:r w:rsidR="004873C0">
        <w:t xml:space="preserve"> (x-axis)</w:t>
      </w:r>
      <w:r>
        <w:t>. Using the relationship for data from 2002-2015</w:t>
      </w:r>
      <w:r w:rsidR="00DB76B3">
        <w:t xml:space="preserve"> (open points</w:t>
      </w:r>
      <w:r w:rsidR="003A67BA">
        <w:t xml:space="preserve"> and dotted line</w:t>
      </w:r>
      <w:r w:rsidR="00DB76B3">
        <w:t>)</w:t>
      </w:r>
      <w:r>
        <w:t xml:space="preserve">, when motile lice were identified to species, we infer that the proportion of motile lice that would have been </w:t>
      </w:r>
      <w:r>
        <w:rPr>
          <w:i/>
        </w:rPr>
        <w:t>L. salmonis</w:t>
      </w:r>
      <w:r>
        <w:t xml:space="preserve"> in 2001 was &gt;95%</w:t>
      </w:r>
      <w:r w:rsidR="00DB76B3">
        <w:t xml:space="preserve"> (solid point)</w:t>
      </w:r>
      <w:r>
        <w:t xml:space="preserve">. </w:t>
      </w:r>
    </w:p>
    <w:p w14:paraId="5A65C343" w14:textId="77777777" w:rsidR="00B54E14" w:rsidRDefault="00B54E14" w:rsidP="00D4720F">
      <w:pPr>
        <w:spacing w:line="480" w:lineRule="auto"/>
      </w:pPr>
    </w:p>
    <w:p w14:paraId="65754DEB" w14:textId="77777777" w:rsidR="00DD7470" w:rsidRPr="00E564E3" w:rsidRDefault="00CD45D2" w:rsidP="00DD7470">
      <w:pPr>
        <w:spacing w:line="480" w:lineRule="auto"/>
        <w:ind w:firstLine="576"/>
      </w:pPr>
      <w:r>
        <w:t xml:space="preserve">We estimated </w:t>
      </w:r>
      <w:r w:rsidR="00D4720F">
        <w:t>the abundance and prevalence from 2001 to 2015 using</w:t>
      </w:r>
      <w:r w:rsidR="003F1F74" w:rsidRPr="003F1F74">
        <w:t xml:space="preserve"> generalized linear mixed-effects model</w:t>
      </w:r>
      <w:r w:rsidR="00D4720F">
        <w:t>s</w:t>
      </w:r>
      <w:r w:rsidR="00CC2F64">
        <w:t xml:space="preserve"> (</w:t>
      </w:r>
      <w:r w:rsidR="00CC2F64">
        <w:fldChar w:fldCharType="begin"/>
      </w:r>
      <w:r w:rsidR="00CC2F64">
        <w:instrText xml:space="preserve"> REF _Ref318959084 \h </w:instrText>
      </w:r>
      <w:r w:rsidR="00CC2F64">
        <w:fldChar w:fldCharType="separate"/>
      </w:r>
      <w:r w:rsidR="00CC2F64">
        <w:t xml:space="preserve">Table S </w:t>
      </w:r>
      <w:r w:rsidR="00CC2F64">
        <w:rPr>
          <w:noProof/>
        </w:rPr>
        <w:t>1</w:t>
      </w:r>
      <w:r w:rsidR="00CC2F64">
        <w:fldChar w:fldCharType="end"/>
      </w:r>
      <w:r w:rsidR="00CC2F64">
        <w:t>)</w:t>
      </w:r>
      <w:r w:rsidR="003F1F74">
        <w:t xml:space="preserve">.  </w:t>
      </w:r>
      <w:r w:rsidR="00D4720F">
        <w:t>In both cases</w:t>
      </w:r>
      <w:r>
        <w:t>, f</w:t>
      </w:r>
      <w:r w:rsidR="009D64B6">
        <w:t>ixed effects included year</w:t>
      </w:r>
      <w:r>
        <w:t xml:space="preserve"> and for </w:t>
      </w:r>
      <w:r w:rsidR="00D4720F">
        <w:t>abundance</w:t>
      </w:r>
      <w:r w:rsidR="005F7185">
        <w:t xml:space="preserve">, </w:t>
      </w:r>
      <w:r w:rsidR="00D4720F">
        <w:t xml:space="preserve">the louse </w:t>
      </w:r>
      <w:r>
        <w:t xml:space="preserve">stage was also included as a fixed effect. </w:t>
      </w:r>
      <w:r w:rsidR="005F7185">
        <w:t>R</w:t>
      </w:r>
      <w:r>
        <w:t xml:space="preserve">andom effects included week of the year and </w:t>
      </w:r>
      <w:r>
        <w:lastRenderedPageBreak/>
        <w:t xml:space="preserve">location:year combination. </w:t>
      </w:r>
      <w:r w:rsidR="00DD7470" w:rsidRPr="00D929B0">
        <w:t xml:space="preserve">Lice were overdispersed among hosts, </w:t>
      </w:r>
      <w:r w:rsidR="00DD7470">
        <w:t>and so in the model of abundance,</w:t>
      </w:r>
      <w:r w:rsidR="00DD7470" w:rsidRPr="00D929B0">
        <w:t xml:space="preserve"> we assumed that the number of lice were distributed among hosts according to the negative binomial</w:t>
      </w:r>
      <w:r w:rsidR="00DD7470">
        <w:t xml:space="preserve">, with the </w:t>
      </w:r>
      <w:r w:rsidR="00DD7470" w:rsidRPr="00D929B0">
        <w:t>over-dispersion parameter of the negative binomial distribution</w:t>
      </w:r>
      <w:r w:rsidR="00DD7470">
        <w:t xml:space="preserve"> fit as a free parameter (</w:t>
      </w:r>
      <w:r w:rsidR="00DD7470">
        <w:rPr>
          <w:i/>
        </w:rPr>
        <w:t>k</w:t>
      </w:r>
      <w:r w:rsidR="00DD7470">
        <w:t xml:space="preserve"> in </w:t>
      </w:r>
      <w:r w:rsidR="00DD7470">
        <w:fldChar w:fldCharType="begin"/>
      </w:r>
      <w:r w:rsidR="00DD7470">
        <w:rPr>
          <w:rFonts w:asciiTheme="minorHAnsi" w:hAnsiTheme="minorHAnsi"/>
        </w:rPr>
        <w:instrText xml:space="preserve"> REF _Ref318959084 \h </w:instrText>
      </w:r>
      <w:r w:rsidR="00DD7470">
        <w:fldChar w:fldCharType="separate"/>
      </w:r>
      <w:r w:rsidR="00DD7470">
        <w:t xml:space="preserve">Table S </w:t>
      </w:r>
      <w:r w:rsidR="00DD7470">
        <w:rPr>
          <w:noProof/>
        </w:rPr>
        <w:t>1</w:t>
      </w:r>
      <w:r w:rsidR="00DD7470">
        <w:fldChar w:fldCharType="end"/>
      </w:r>
      <w:r w:rsidR="00DD7470">
        <w:t>).</w:t>
      </w:r>
      <w:r w:rsidR="00DD7470" w:rsidRPr="00D929B0">
        <w:t xml:space="preserve"> </w:t>
      </w:r>
    </w:p>
    <w:p w14:paraId="12715E1D" w14:textId="19AB66C5" w:rsidR="008E2533" w:rsidRDefault="003F1F74" w:rsidP="00DD7470">
      <w:pPr>
        <w:spacing w:line="480" w:lineRule="auto"/>
        <w:ind w:firstLine="576"/>
      </w:pPr>
      <w:r>
        <w:t>We fit the model in JAGS</w:t>
      </w:r>
      <w:r w:rsidR="00F02466">
        <w:t xml:space="preserve"> </w:t>
      </w:r>
      <w:r w:rsidR="00F02466">
        <w:fldChar w:fldCharType="begin" w:fldLock="1"/>
      </w:r>
      <w:r w:rsidR="00185B34">
        <w:instrText>ADDIN CSL_CITATION { "citationItems" : [ { "id" : "ITEM-1", "itemData" : { "author" : [ { "dropping-particle" : "", "family" : "Plummer", "given" : "Martyn", "non-dropping-particle" : "", "parse-names" : false, "suffix" : "" } ], "container-title" : "Proceedings of the 3rd international workshop on Distributed Statistical Computing", "editor" : [ { "dropping-particle" : "", "family" : "Kurt Hornik", "given" : "Friedrich Leisch", "non-dropping-particle" : "", "parse-names" : false, "suffix" : "" }, { "dropping-particle" : "", "family" : "Zeileis", "given" : "Achim", "non-dropping-particle" : "", "parse-names" : false, "suffix" : "" } ], "id" : "ITEM-1", "issued" : { "date-parts" : [ [ "2003", "3" ] ] }, "page" : "1-8", "publisher-place" : "Vienna, Austria", "title" : "JAGS: A program for analysis of Bayesian graphical models using Gibbs sampling", "type" : "article-journal" }, "uris" : [ "http://www.mendeley.com/documents/?uuid=e677264a-f2bf-4d4b-871e-ef9d05f2fdd5" ] } ], "mendeley" : { "formattedCitation" : "(Plummer 2003)", "plainTextFormattedCitation" : "(Plummer 2003)", "previouslyFormattedCitation" : "(Plummer 2003)" }, "properties" : { "noteIndex" : 0 }, "schema" : "https://github.com/citation-style-language/schema/raw/master/csl-citation.json" }</w:instrText>
      </w:r>
      <w:r w:rsidR="00F02466">
        <w:fldChar w:fldCharType="separate"/>
      </w:r>
      <w:r w:rsidR="00F02466" w:rsidRPr="00F02466">
        <w:rPr>
          <w:noProof/>
        </w:rPr>
        <w:t>(Plummer 2003)</w:t>
      </w:r>
      <w:r w:rsidR="00F02466">
        <w:fldChar w:fldCharType="end"/>
      </w:r>
      <w:r w:rsidR="00F02466">
        <w:t>,</w:t>
      </w:r>
      <w:r>
        <w:t xml:space="preserve"> interfacing with R through the package rjags</w:t>
      </w:r>
      <w:r w:rsidR="00F02466">
        <w:t xml:space="preserve"> </w:t>
      </w:r>
      <w:r w:rsidR="00F02466">
        <w:fldChar w:fldCharType="begin" w:fldLock="1"/>
      </w:r>
      <w:r w:rsidR="00892A65">
        <w:instrText>ADDIN CSL_CITATION { "citationItems" : [ { "id" : "ITEM-1", "itemData" : { "author" : [ { "dropping-particle" : "", "family" : "Plummer", "given" : "Martyn", "non-dropping-particle" : "", "parse-names" : false, "suffix" : "" } ], "id" : "ITEM-1", "issued" : { "date-parts" : [ [ "2011" ] ] }, "title" : "rjags: Bayesian graphical models using MCMC", "type" : "article" }, "uris" : [ "http://www.mendeley.com/documents/?uuid=b750ae36-8195-4c0f-afc4-8dc8542bdf2b", "http://www.mendeley.com/documents/?uuid=04eb29f5-e0bd-495e-af9c-72bc96ee8af2" ] } ], "mendeley" : { "formattedCitation" : "(Plummer 2011)", "plainTextFormattedCitation" : "(Plummer 2011)", "previouslyFormattedCitation" : "(Plummer 2011)" }, "properties" : { "noteIndex" : 0 }, "schema" : "https://github.com/citation-style-language/schema/raw/master/csl-citation.json" }</w:instrText>
      </w:r>
      <w:r w:rsidR="00F02466">
        <w:fldChar w:fldCharType="separate"/>
      </w:r>
      <w:r w:rsidR="00F02466" w:rsidRPr="00F02466">
        <w:rPr>
          <w:noProof/>
        </w:rPr>
        <w:t>(Plummer 2011)</w:t>
      </w:r>
      <w:r w:rsidR="00F02466">
        <w:fldChar w:fldCharType="end"/>
      </w:r>
      <w:r w:rsidR="00AC11E3">
        <w:t xml:space="preserve">. </w:t>
      </w:r>
      <w:r w:rsidR="00CC2F64">
        <w:t xml:space="preserve">Priors on parameters and hyperparameters are given in </w:t>
      </w:r>
      <w:r w:rsidR="00CC2F64">
        <w:fldChar w:fldCharType="begin"/>
      </w:r>
      <w:r w:rsidR="00CC2F64">
        <w:instrText xml:space="preserve"> REF _Ref318959084 \h </w:instrText>
      </w:r>
      <w:r w:rsidR="00CC2F64">
        <w:fldChar w:fldCharType="separate"/>
      </w:r>
      <w:r w:rsidR="00CC2F64">
        <w:t xml:space="preserve">Table S </w:t>
      </w:r>
      <w:r w:rsidR="00CC2F64">
        <w:rPr>
          <w:noProof/>
        </w:rPr>
        <w:t>1</w:t>
      </w:r>
      <w:r w:rsidR="00CC2F64">
        <w:fldChar w:fldCharType="end"/>
      </w:r>
      <w:r w:rsidR="00417F17">
        <w:t>.</w:t>
      </w:r>
      <w:r w:rsidR="0085061A">
        <w:t xml:space="preserve"> </w:t>
      </w:r>
      <w:r w:rsidR="00417F17">
        <w:t>When fitting the model, we</w:t>
      </w:r>
      <w:r w:rsidR="0085061A">
        <w:t xml:space="preserve"> </w:t>
      </w:r>
      <w:r w:rsidR="00417F17">
        <w:t xml:space="preserve">ran three parallel MCMC chains, and </w:t>
      </w:r>
      <w:r w:rsidR="0085061A">
        <w:t>allowed an adapt</w:t>
      </w:r>
      <w:r w:rsidR="00417F17">
        <w:t>ation phase of 1000 iteration</w:t>
      </w:r>
      <w:r w:rsidR="0085061A">
        <w:t xml:space="preserve"> followed by 5000 iterations of burnin</w:t>
      </w:r>
      <w:r w:rsidR="00417F17">
        <w:t>,</w:t>
      </w:r>
      <w:r w:rsidR="0085061A">
        <w:t xml:space="preserve"> </w:t>
      </w:r>
      <w:r w:rsidR="00417F17">
        <w:t>using</w:t>
      </w:r>
      <w:r w:rsidR="0085061A">
        <w:t xml:space="preserve"> the subsequent 5000 iterations to construct the posterior samples.</w:t>
      </w:r>
      <w:r w:rsidR="00EB249E" w:rsidRPr="00D929B0">
        <w:t xml:space="preserve"> </w:t>
      </w:r>
    </w:p>
    <w:p w14:paraId="06913D72" w14:textId="77777777" w:rsidR="00BF699B" w:rsidRDefault="00BF699B" w:rsidP="00DD7470">
      <w:pPr>
        <w:spacing w:line="480" w:lineRule="auto"/>
        <w:ind w:firstLine="576"/>
      </w:pPr>
    </w:p>
    <w:p w14:paraId="14C167C3" w14:textId="77777777" w:rsidR="00BF699B" w:rsidRDefault="00BF699B" w:rsidP="00BF699B">
      <w:pPr>
        <w:keepNext/>
        <w:jc w:val="center"/>
      </w:pPr>
      <w:r w:rsidRPr="005E4924">
        <w:rPr>
          <w:rFonts w:cs="Times New Roman"/>
          <w:noProof/>
        </w:rPr>
        <w:drawing>
          <wp:inline distT="0" distB="0" distL="0" distR="0" wp14:anchorId="22AD742A" wp14:editId="734E40DA">
            <wp:extent cx="5861900" cy="232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dispersion_Lep_motiles.pdf"/>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63511" cy="2324739"/>
                    </a:xfrm>
                    <a:prstGeom prst="rect">
                      <a:avLst/>
                    </a:prstGeom>
                    <a:ln>
                      <a:noFill/>
                    </a:ln>
                    <a:extLst>
                      <a:ext uri="{53640926-AAD7-44d8-BBD7-CCE9431645EC}">
                        <a14:shadowObscured xmlns:a14="http://schemas.microsoft.com/office/drawing/2010/main"/>
                      </a:ext>
                    </a:extLst>
                  </pic:spPr>
                </pic:pic>
              </a:graphicData>
            </a:graphic>
          </wp:inline>
        </w:drawing>
      </w:r>
    </w:p>
    <w:p w14:paraId="5AB66780" w14:textId="77777777" w:rsidR="00BF699B" w:rsidRPr="00AB4F07" w:rsidRDefault="00BF699B" w:rsidP="00BF699B">
      <w:pPr>
        <w:pStyle w:val="Caption"/>
        <w:spacing w:line="240" w:lineRule="auto"/>
      </w:pPr>
      <w:bookmarkStart w:id="4" w:name="_Ref317402289"/>
      <w:r>
        <w:t xml:space="preserve">Fig. S </w:t>
      </w:r>
      <w:fldSimple w:instr=" SEQ Figure_S \* ARABIC ">
        <w:r>
          <w:rPr>
            <w:noProof/>
          </w:rPr>
          <w:t>3</w:t>
        </w:r>
      </w:fldSimple>
      <w:bookmarkEnd w:id="4"/>
      <w:r>
        <w:t xml:space="preserve">. The mean (x-axis) and variance (y-axis) in the number of </w:t>
      </w:r>
      <w:r w:rsidRPr="00AB4F07">
        <w:rPr>
          <w:i/>
        </w:rPr>
        <w:t>L. salmonis</w:t>
      </w:r>
      <w:r>
        <w:t xml:space="preserve"> per host, of (a) copepidid, (b) chalimus</w:t>
      </w:r>
      <w:r w:rsidRPr="00D47D41">
        <w:rPr>
          <w:vertAlign w:val="superscript"/>
        </w:rPr>
        <w:t>*</w:t>
      </w:r>
      <w:r>
        <w:t xml:space="preserve">, and (c) motile stage. Each point represents a unique sampling site (location/date combination). </w:t>
      </w:r>
      <w:r w:rsidRPr="00D47D41">
        <w:rPr>
          <w:vertAlign w:val="superscript"/>
        </w:rPr>
        <w:t>*</w:t>
      </w:r>
      <w:r>
        <w:t xml:space="preserve">Chalimus lice cannot be identified to species using our methodology, and so counts of chalimus may include </w:t>
      </w:r>
      <w:r>
        <w:rPr>
          <w:i/>
        </w:rPr>
        <w:t xml:space="preserve">Caligus </w:t>
      </w:r>
      <w:r>
        <w:t>spp.</w:t>
      </w:r>
    </w:p>
    <w:p w14:paraId="6919904A" w14:textId="77777777" w:rsidR="00BF699B" w:rsidRDefault="00BF699B" w:rsidP="00DD7470">
      <w:pPr>
        <w:spacing w:line="480" w:lineRule="auto"/>
        <w:ind w:firstLine="576"/>
      </w:pPr>
    </w:p>
    <w:p w14:paraId="25C31361" w14:textId="2E8A8086" w:rsidR="008E2533" w:rsidRDefault="008E2533" w:rsidP="00BF699B">
      <w:pPr>
        <w:pStyle w:val="Caption"/>
        <w:keepNext/>
        <w:keepLines/>
        <w:spacing w:line="240" w:lineRule="auto"/>
      </w:pPr>
      <w:bookmarkStart w:id="5" w:name="_Ref318959084"/>
      <w:r>
        <w:lastRenderedPageBreak/>
        <w:t xml:space="preserve">Table S </w:t>
      </w:r>
      <w:r w:rsidR="00C113F5">
        <w:fldChar w:fldCharType="begin"/>
      </w:r>
      <w:r w:rsidR="00C113F5">
        <w:instrText xml:space="preserve"> SEQ Table_S \* ARABIC </w:instrText>
      </w:r>
      <w:r w:rsidR="00C113F5">
        <w:fldChar w:fldCharType="separate"/>
      </w:r>
      <w:r>
        <w:rPr>
          <w:noProof/>
        </w:rPr>
        <w:t>1</w:t>
      </w:r>
      <w:r w:rsidR="00C113F5">
        <w:rPr>
          <w:noProof/>
        </w:rPr>
        <w:fldChar w:fldCharType="end"/>
      </w:r>
      <w:bookmarkEnd w:id="5"/>
      <w:r>
        <w:t>. Description of the hierarchical models fit to the abundance of sea lice of each stage on individual juvenile salmon, and prevalence of sea lice among salmon captured at a site.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3768"/>
        <w:gridCol w:w="3939"/>
      </w:tblGrid>
      <w:tr w:rsidR="007F5491" w14:paraId="76CF61E3" w14:textId="77777777" w:rsidTr="00D36534">
        <w:tc>
          <w:tcPr>
            <w:tcW w:w="1869" w:type="dxa"/>
            <w:vMerge w:val="restart"/>
            <w:tcBorders>
              <w:top w:val="single" w:sz="4" w:space="0" w:color="auto"/>
            </w:tcBorders>
          </w:tcPr>
          <w:p w14:paraId="43BEA7DB" w14:textId="61CFE38B" w:rsidR="007F5491" w:rsidRDefault="007F5491" w:rsidP="00BF699B">
            <w:pPr>
              <w:keepNext/>
              <w:keepLines/>
              <w:spacing w:line="360" w:lineRule="auto"/>
              <w:rPr>
                <w:b/>
              </w:rPr>
            </w:pPr>
            <w:r>
              <w:rPr>
                <w:b/>
              </w:rPr>
              <w:t>Model component</w:t>
            </w:r>
          </w:p>
        </w:tc>
        <w:tc>
          <w:tcPr>
            <w:tcW w:w="7707" w:type="dxa"/>
            <w:gridSpan w:val="2"/>
            <w:tcBorders>
              <w:top w:val="single" w:sz="4" w:space="0" w:color="auto"/>
              <w:bottom w:val="single" w:sz="4" w:space="0" w:color="auto"/>
            </w:tcBorders>
          </w:tcPr>
          <w:p w14:paraId="4A81F636" w14:textId="2B06F817" w:rsidR="007F5491" w:rsidRPr="008E2533" w:rsidRDefault="007F5491" w:rsidP="00BF699B">
            <w:pPr>
              <w:keepNext/>
              <w:keepLines/>
              <w:spacing w:line="360" w:lineRule="auto"/>
              <w:jc w:val="center"/>
              <w:rPr>
                <w:b/>
              </w:rPr>
            </w:pPr>
            <w:r>
              <w:rPr>
                <w:b/>
              </w:rPr>
              <w:t>Response</w:t>
            </w:r>
          </w:p>
        </w:tc>
      </w:tr>
      <w:tr w:rsidR="007F5491" w14:paraId="226B5D92" w14:textId="77777777" w:rsidTr="00D36534">
        <w:tc>
          <w:tcPr>
            <w:tcW w:w="1869" w:type="dxa"/>
            <w:vMerge/>
            <w:tcBorders>
              <w:bottom w:val="single" w:sz="4" w:space="0" w:color="auto"/>
            </w:tcBorders>
          </w:tcPr>
          <w:p w14:paraId="524467D3" w14:textId="63021441" w:rsidR="007F5491" w:rsidRPr="008E2533" w:rsidRDefault="007F5491" w:rsidP="00BF699B">
            <w:pPr>
              <w:keepNext/>
              <w:keepLines/>
              <w:spacing w:line="360" w:lineRule="auto"/>
              <w:rPr>
                <w:b/>
              </w:rPr>
            </w:pPr>
          </w:p>
        </w:tc>
        <w:tc>
          <w:tcPr>
            <w:tcW w:w="3768" w:type="dxa"/>
            <w:tcBorders>
              <w:top w:val="single" w:sz="4" w:space="0" w:color="auto"/>
              <w:bottom w:val="single" w:sz="4" w:space="0" w:color="auto"/>
            </w:tcBorders>
          </w:tcPr>
          <w:p w14:paraId="5DEB7234" w14:textId="39471D1F" w:rsidR="007F5491" w:rsidRPr="008E2533" w:rsidRDefault="007F5491" w:rsidP="00BF699B">
            <w:pPr>
              <w:keepNext/>
              <w:keepLines/>
              <w:spacing w:line="360" w:lineRule="auto"/>
              <w:jc w:val="center"/>
              <w:rPr>
                <w:b/>
              </w:rPr>
            </w:pPr>
            <w:r w:rsidRPr="008E2533">
              <w:rPr>
                <w:b/>
              </w:rPr>
              <w:t>Abundance</w:t>
            </w:r>
          </w:p>
        </w:tc>
        <w:tc>
          <w:tcPr>
            <w:tcW w:w="3939" w:type="dxa"/>
            <w:tcBorders>
              <w:top w:val="single" w:sz="4" w:space="0" w:color="auto"/>
              <w:bottom w:val="single" w:sz="4" w:space="0" w:color="auto"/>
            </w:tcBorders>
          </w:tcPr>
          <w:p w14:paraId="2C891806" w14:textId="7834F66A" w:rsidR="007F5491" w:rsidRPr="008E2533" w:rsidRDefault="007F5491" w:rsidP="00BF699B">
            <w:pPr>
              <w:keepNext/>
              <w:keepLines/>
              <w:spacing w:line="360" w:lineRule="auto"/>
              <w:jc w:val="center"/>
              <w:rPr>
                <w:b/>
              </w:rPr>
            </w:pPr>
            <w:r w:rsidRPr="008E2533">
              <w:rPr>
                <w:b/>
              </w:rPr>
              <w:t>Prevalence</w:t>
            </w:r>
          </w:p>
        </w:tc>
      </w:tr>
      <w:tr w:rsidR="008E2533" w14:paraId="13EEE420" w14:textId="77777777" w:rsidTr="004F1F24">
        <w:tc>
          <w:tcPr>
            <w:tcW w:w="1869" w:type="dxa"/>
            <w:tcBorders>
              <w:top w:val="single" w:sz="4" w:space="0" w:color="auto"/>
            </w:tcBorders>
            <w:vAlign w:val="center"/>
          </w:tcPr>
          <w:p w14:paraId="15D8329F" w14:textId="77777777" w:rsidR="008E2533" w:rsidRDefault="008E2533" w:rsidP="00BF699B">
            <w:pPr>
              <w:keepNext/>
              <w:keepLines/>
              <w:spacing w:line="360" w:lineRule="auto"/>
            </w:pPr>
            <w:r>
              <w:t>Data model</w:t>
            </w:r>
          </w:p>
          <w:p w14:paraId="083E2343" w14:textId="22DE3DA4" w:rsidR="008E2533" w:rsidRDefault="008E2533" w:rsidP="00BF699B">
            <w:pPr>
              <w:keepNext/>
              <w:keepLines/>
              <w:spacing w:line="360" w:lineRule="auto"/>
            </w:pPr>
          </w:p>
        </w:tc>
        <w:tc>
          <w:tcPr>
            <w:tcW w:w="3768" w:type="dxa"/>
            <w:tcBorders>
              <w:top w:val="single" w:sz="4" w:space="0" w:color="auto"/>
            </w:tcBorders>
            <w:vAlign w:val="center"/>
          </w:tcPr>
          <w:p w14:paraId="0BF17725" w14:textId="2800EFF0" w:rsidR="008E2533" w:rsidRDefault="00C113F5" w:rsidP="00BF699B">
            <w:pPr>
              <w:keepNext/>
              <w:keepLines/>
              <w:spacing w:line="360" w:lineRule="auto"/>
              <w:jc w:val="center"/>
            </w:pPr>
            <m:oMathPara>
              <m:oMath>
                <m:sSub>
                  <m:sSubPr>
                    <m:ctrlPr>
                      <w:rPr>
                        <w:rFonts w:ascii="Cambria Math" w:hAnsi="Cambria Math"/>
                        <w:i/>
                      </w:rPr>
                    </m:ctrlPr>
                  </m:sSubPr>
                  <m:e>
                    <m:r>
                      <w:rPr>
                        <w:rFonts w:ascii="Cambria Math" w:hAnsi="Cambria Math"/>
                      </w:rPr>
                      <m:t>y</m:t>
                    </m:r>
                  </m:e>
                  <m:sub>
                    <m:r>
                      <w:rPr>
                        <w:rFonts w:ascii="Cambria Math" w:hAnsi="Cambria Math"/>
                      </w:rPr>
                      <m:t>ijf</m:t>
                    </m:r>
                  </m:sub>
                </m:sSub>
                <m:r>
                  <w:rPr>
                    <w:rFonts w:ascii="Cambria Math" w:hAnsi="Cambria Math"/>
                  </w:rPr>
                  <m:t xml:space="preserve"> ~ </m:t>
                </m:r>
                <m:r>
                  <m:rPr>
                    <m:sty m:val="p"/>
                  </m:rPr>
                  <w:rPr>
                    <w:rFonts w:ascii="Cambria Math" w:hAnsi="Cambria Math"/>
                  </w:rPr>
                  <m:t>NegBinom</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 k</m:t>
                    </m:r>
                  </m:e>
                </m:d>
              </m:oMath>
            </m:oMathPara>
          </w:p>
        </w:tc>
        <w:tc>
          <w:tcPr>
            <w:tcW w:w="3939" w:type="dxa"/>
            <w:tcBorders>
              <w:top w:val="single" w:sz="4" w:space="0" w:color="auto"/>
            </w:tcBorders>
            <w:vAlign w:val="center"/>
          </w:tcPr>
          <w:p w14:paraId="49747665" w14:textId="3E654FAF" w:rsidR="008E2533" w:rsidRDefault="00C113F5" w:rsidP="00BF699B">
            <w:pPr>
              <w:keepNext/>
              <w:keepLines/>
              <w:spacing w:line="360" w:lineRule="auto"/>
              <w:jc w:val="cente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 </m:t>
                </m:r>
                <m:r>
                  <m:rPr>
                    <m:sty m:val="p"/>
                  </m:rPr>
                  <w:rPr>
                    <w:rFonts w:ascii="Cambria Math" w:hAnsi="Cambria Math"/>
                  </w:rPr>
                  <m:t>Binom</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e>
                </m:d>
              </m:oMath>
            </m:oMathPara>
          </w:p>
        </w:tc>
      </w:tr>
      <w:tr w:rsidR="008E2533" w14:paraId="78D1DA35" w14:textId="77777777" w:rsidTr="004F1F24">
        <w:tc>
          <w:tcPr>
            <w:tcW w:w="1869" w:type="dxa"/>
            <w:vAlign w:val="center"/>
          </w:tcPr>
          <w:p w14:paraId="4AA40A80" w14:textId="5A68AA9F" w:rsidR="008E2533" w:rsidRDefault="008E2533" w:rsidP="00BF699B">
            <w:pPr>
              <w:keepNext/>
              <w:keepLines/>
              <w:spacing w:line="360" w:lineRule="auto"/>
            </w:pPr>
            <w:r>
              <w:t>Process model</w:t>
            </w:r>
          </w:p>
        </w:tc>
        <w:tc>
          <w:tcPr>
            <w:tcW w:w="3768" w:type="dxa"/>
            <w:vAlign w:val="center"/>
          </w:tcPr>
          <w:p w14:paraId="3FC0C4DA" w14:textId="7EBF1787" w:rsidR="008E2533" w:rsidRPr="00A1748C" w:rsidRDefault="00C113F5" w:rsidP="00BF699B">
            <w:pPr>
              <w:keepNext/>
              <w:keepLines/>
              <w:spacing w:line="360" w:lineRule="auto"/>
              <w:jc w:val="center"/>
            </w:pPr>
            <m:oMathPara>
              <m:oMath>
                <m:sSub>
                  <m:sSubPr>
                    <m:ctrlPr>
                      <w:rPr>
                        <w:rFonts w:ascii="Cambria Math" w:hAnsi="Cambria Math"/>
                        <w:i/>
                      </w:rPr>
                    </m:ctrlPr>
                  </m:sSubPr>
                  <m:e>
                    <m:r>
                      <w:rPr>
                        <w:rFonts w:ascii="Cambria Math" w:hAnsi="Cambria Math"/>
                      </w:rPr>
                      <m:t>p</m:t>
                    </m:r>
                  </m:e>
                  <m:sub>
                    <m:r>
                      <w:rPr>
                        <w:rFonts w:ascii="Cambria Math" w:hAnsi="Cambria Math"/>
                      </w:rPr>
                      <m:t>ij</m:t>
                    </m:r>
                  </m:sub>
                </m:sSub>
                <m:r>
                  <w:rPr>
                    <w:rFonts w:ascii="Cambria Math" w:hAnsi="Cambria Math"/>
                  </w:rPr>
                  <m:t xml:space="preserve">= </m:t>
                </m:r>
                <m:f>
                  <m:fPr>
                    <m:ctrlPr>
                      <w:rPr>
                        <w:rFonts w:ascii="Cambria Math" w:hAnsi="Cambria Math"/>
                        <w:i/>
                      </w:rPr>
                    </m:ctrlPr>
                  </m:fPr>
                  <m:num>
                    <m:r>
                      <w:rPr>
                        <w:rFonts w:ascii="Cambria Math" w:hAnsi="Cambria Math"/>
                      </w:rPr>
                      <m:t>k</m:t>
                    </m:r>
                  </m:num>
                  <m:den>
                    <m:r>
                      <w:rPr>
                        <w:rFonts w:ascii="Cambria Math" w:hAnsi="Cambria Math"/>
                      </w:rPr>
                      <m:t>k+</m:t>
                    </m:r>
                    <m:sSub>
                      <m:sSubPr>
                        <m:ctrlPr>
                          <w:rPr>
                            <w:rFonts w:ascii="Cambria Math" w:hAnsi="Cambria Math"/>
                            <w:i/>
                          </w:rPr>
                        </m:ctrlPr>
                      </m:sSubPr>
                      <m:e>
                        <m:r>
                          <w:rPr>
                            <w:rFonts w:ascii="Cambria Math" w:hAnsi="Cambria Math"/>
                          </w:rPr>
                          <m:t>μ</m:t>
                        </m:r>
                      </m:e>
                      <m:sub>
                        <m:r>
                          <w:rPr>
                            <w:rFonts w:ascii="Cambria Math" w:hAnsi="Cambria Math"/>
                          </w:rPr>
                          <m:t>ij</m:t>
                        </m:r>
                      </m:sub>
                    </m:sSub>
                  </m:den>
                </m:f>
              </m:oMath>
            </m:oMathPara>
          </w:p>
          <w:p w14:paraId="4EB25486" w14:textId="7FB39710" w:rsidR="008E2533" w:rsidRDefault="00C113F5" w:rsidP="00BF699B">
            <w:pPr>
              <w:keepNext/>
              <w:keepLines/>
              <w:spacing w:line="360" w:lineRule="auto"/>
              <w:jc w:val="center"/>
            </w:pPr>
            <m:oMathPara>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ij</m:t>
                            </m:r>
                          </m:sub>
                        </m:sSub>
                      </m:e>
                    </m:d>
                  </m:e>
                </m:func>
                <m:r>
                  <w:rPr>
                    <w:rFonts w:ascii="Cambria Math" w:hAnsi="Cambria Math"/>
                  </w:rPr>
                  <m: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sub>
                </m:sSub>
              </m:oMath>
            </m:oMathPara>
          </w:p>
        </w:tc>
        <w:tc>
          <w:tcPr>
            <w:tcW w:w="3939" w:type="dxa"/>
            <w:vAlign w:val="center"/>
          </w:tcPr>
          <w:p w14:paraId="2A617BA9" w14:textId="2F57FFB4" w:rsidR="008E2533" w:rsidRDefault="00C113F5" w:rsidP="00BF699B">
            <w:pPr>
              <w:keepNext/>
              <w:keepLines/>
              <w:spacing w:line="360" w:lineRule="auto"/>
              <w:jc w:val="center"/>
            </w:pPr>
            <m:oMathPara>
              <m:oMath>
                <m:func>
                  <m:funcPr>
                    <m:ctrlPr>
                      <w:rPr>
                        <w:rFonts w:ascii="Cambria Math" w:hAnsi="Cambria Math"/>
                        <w:i/>
                      </w:rPr>
                    </m:ctrlPr>
                  </m:funcPr>
                  <m:fName>
                    <m:r>
                      <m:rPr>
                        <m:sty m:val="p"/>
                      </m:rPr>
                      <w:rPr>
                        <w:rFonts w:ascii="Cambria Math" w:hAnsi="Cambria Math"/>
                      </w:rPr>
                      <m:t>logit</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func>
                <m:r>
                  <w:rPr>
                    <w:rFonts w:ascii="Cambria Math" w:hAnsi="Cambria Math"/>
                  </w:rPr>
                  <m:t>=</m:t>
                </m:r>
                <m:sSub>
                  <m:sSubPr>
                    <m:ctrlPr>
                      <w:rPr>
                        <w:rFonts w:ascii="Cambria Math" w:hAnsi="Cambria Math"/>
                        <w:i/>
                      </w:rPr>
                    </m:ctrlPr>
                  </m:sSubPr>
                  <m:e>
                    <m:r>
                      <w:rPr>
                        <w:rFonts w:ascii="Cambria Math" w:hAnsi="Cambria Math"/>
                      </w:rPr>
                      <m:t>β</m:t>
                    </m:r>
                  </m:e>
                  <m:sub>
                    <m:sSub>
                      <m:sSubPr>
                        <m:ctrlPr>
                          <w:rPr>
                            <w:rFonts w:ascii="Cambria Math" w:hAnsi="Cambria Math"/>
                            <w:i/>
                          </w:rPr>
                        </m:ctrlPr>
                      </m:sSubPr>
                      <m:e>
                        <m:r>
                          <w:rPr>
                            <w:rFonts w:ascii="Cambria Math" w:hAnsi="Cambria Math"/>
                          </w:rPr>
                          <m:t>y</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w</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θ</m:t>
                    </m:r>
                  </m:e>
                  <m:sub>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sub>
                </m:sSub>
              </m:oMath>
            </m:oMathPara>
          </w:p>
        </w:tc>
      </w:tr>
      <w:tr w:rsidR="008E2533" w14:paraId="22BFD32C" w14:textId="77777777" w:rsidTr="004F1F24">
        <w:tc>
          <w:tcPr>
            <w:tcW w:w="1869" w:type="dxa"/>
            <w:vAlign w:val="center"/>
          </w:tcPr>
          <w:p w14:paraId="620F494E" w14:textId="556696D5" w:rsidR="008E2533" w:rsidRDefault="008E2533" w:rsidP="00BF699B">
            <w:pPr>
              <w:keepNext/>
              <w:keepLines/>
              <w:spacing w:line="360" w:lineRule="auto"/>
            </w:pPr>
            <w:r>
              <w:t>Parameters</w:t>
            </w:r>
          </w:p>
        </w:tc>
        <w:tc>
          <w:tcPr>
            <w:tcW w:w="3768" w:type="dxa"/>
            <w:vAlign w:val="center"/>
          </w:tcPr>
          <w:p w14:paraId="36FC8EC9" w14:textId="77777777" w:rsidR="008E2533" w:rsidRPr="00A95954" w:rsidRDefault="00C113F5" w:rsidP="00BF699B">
            <w:pPr>
              <w:keepNext/>
              <w:keepLines/>
              <w:spacing w:line="360" w:lineRule="auto"/>
              <w:jc w:val="center"/>
            </w:pPr>
            <m:oMathPara>
              <m:oMath>
                <m:sSub>
                  <m:sSubPr>
                    <m:ctrlPr>
                      <w:rPr>
                        <w:rFonts w:ascii="Cambria Math" w:hAnsi="Cambria Math"/>
                        <w:i/>
                      </w:rPr>
                    </m:ctrlPr>
                  </m:sSubPr>
                  <m:e>
                    <m:r>
                      <w:rPr>
                        <w:rFonts w:ascii="Cambria Math" w:hAnsi="Cambria Math"/>
                      </w:rPr>
                      <m:t>β</m:t>
                    </m:r>
                  </m:e>
                  <m:sub>
                    <m:r>
                      <w:rPr>
                        <w:rFonts w:ascii="Cambria Math" w:hAnsi="Cambria Math"/>
                      </w:rPr>
                      <m:t>yj</m:t>
                    </m:r>
                  </m:sub>
                </m:sSub>
                <m:r>
                  <w:rPr>
                    <w:rFonts w:ascii="Cambria Math" w:hAnsi="Cambria Math"/>
                  </w:rPr>
                  <m:t xml:space="preserve"> ~ </m:t>
                </m:r>
                <m:r>
                  <m:rPr>
                    <m:sty m:val="p"/>
                  </m:rPr>
                  <w:rPr>
                    <w:rFonts w:ascii="Cambria Math" w:hAnsi="Cambria Math"/>
                  </w:rPr>
                  <m:t>Norm</m:t>
                </m:r>
                <m:d>
                  <m:dPr>
                    <m:ctrlPr>
                      <w:rPr>
                        <w:rFonts w:ascii="Cambria Math" w:hAnsi="Cambria Math"/>
                      </w:rPr>
                    </m:ctrlPr>
                  </m:dPr>
                  <m:e>
                    <m:r>
                      <w:rPr>
                        <w:rFonts w:ascii="Cambria Math" w:hAnsi="Cambria Math"/>
                      </w:rPr>
                      <m:t>m=0, τ=0.001</m:t>
                    </m:r>
                  </m:e>
                </m:d>
              </m:oMath>
            </m:oMathPara>
          </w:p>
          <w:p w14:paraId="71EF12F7" w14:textId="63EA1DF6" w:rsidR="002415F1" w:rsidRPr="002415F1" w:rsidRDefault="002415F1" w:rsidP="00BF699B">
            <w:pPr>
              <w:keepNext/>
              <w:keepLines/>
              <w:spacing w:line="360" w:lineRule="auto"/>
              <w:jc w:val="center"/>
            </w:pPr>
            <m:oMathPara>
              <m:oMath>
                <m:r>
                  <w:rPr>
                    <w:rFonts w:ascii="Cambria Math" w:hAnsi="Cambria Math"/>
                  </w:rPr>
                  <m:t xml:space="preserve">k ~ </m:t>
                </m:r>
                <m:r>
                  <m:rPr>
                    <m:sty m:val="p"/>
                  </m:rPr>
                  <w:rPr>
                    <w:rFonts w:ascii="Cambria Math" w:hAnsi="Cambria Math"/>
                  </w:rPr>
                  <m:t>Gamma</m:t>
                </m:r>
                <m:r>
                  <w:rPr>
                    <w:rFonts w:ascii="Cambria Math" w:hAnsi="Cambria Math"/>
                  </w:rPr>
                  <m:t>(0.01, 0.01)</m:t>
                </m:r>
              </m:oMath>
            </m:oMathPara>
          </w:p>
          <w:p w14:paraId="11FE92C2" w14:textId="77777777" w:rsidR="008E2533" w:rsidRPr="00A95954"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w</m:t>
                    </m:r>
                  </m:sub>
                </m:sSub>
                <m:r>
                  <w:rPr>
                    <w:rFonts w:ascii="Cambria Math" w:hAnsi="Cambria Math"/>
                  </w:rPr>
                  <m:t xml:space="preserve"> ~ </m:t>
                </m:r>
                <m:r>
                  <m:rPr>
                    <m:sty m:val="p"/>
                  </m:rPr>
                  <w:rPr>
                    <w:rFonts w:ascii="Cambria Math" w:hAnsi="Cambria Math"/>
                  </w:rPr>
                  <m:t>Norm</m:t>
                </m:r>
                <m:d>
                  <m:dPr>
                    <m:ctrlPr>
                      <w:rPr>
                        <w:rFonts w:ascii="Cambria Math" w:hAnsi="Cambria Math"/>
                        <w:i/>
                      </w:rPr>
                    </m:ctrlPr>
                  </m:dPr>
                  <m:e>
                    <m:r>
                      <w:rPr>
                        <w:rFonts w:ascii="Cambria Math" w:hAnsi="Cambria Math"/>
                      </w:rPr>
                      <m:t>m=0, τ=</m:t>
                    </m:r>
                    <m:sSub>
                      <m:sSubPr>
                        <m:ctrlPr>
                          <w:rPr>
                            <w:rFonts w:ascii="Cambria Math" w:hAnsi="Cambria Math"/>
                            <w:i/>
                          </w:rPr>
                        </m:ctrlPr>
                      </m:sSubPr>
                      <m:e>
                        <m:r>
                          <w:rPr>
                            <w:rFonts w:ascii="Cambria Math" w:hAnsi="Cambria Math"/>
                          </w:rPr>
                          <m:t>τ</m:t>
                        </m:r>
                      </m:e>
                      <m:sub>
                        <m:r>
                          <w:rPr>
                            <w:rFonts w:ascii="Cambria Math" w:hAnsi="Cambria Math"/>
                          </w:rPr>
                          <m:t>w</m:t>
                        </m:r>
                      </m:sub>
                    </m:sSub>
                  </m:e>
                </m:d>
              </m:oMath>
            </m:oMathPara>
          </w:p>
          <w:p w14:paraId="25AD1EF6" w14:textId="4D91140A" w:rsidR="008E2533" w:rsidRPr="008E2533"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y/l</m:t>
                    </m:r>
                  </m:sub>
                </m:sSub>
                <m:r>
                  <w:rPr>
                    <w:rFonts w:ascii="Cambria Math" w:hAnsi="Cambria Math"/>
                  </w:rPr>
                  <m:t xml:space="preserve"> ~ </m:t>
                </m:r>
                <m:r>
                  <m:rPr>
                    <m:sty m:val="p"/>
                  </m:rPr>
                  <w:rPr>
                    <w:rFonts w:ascii="Cambria Math" w:hAnsi="Cambria Math"/>
                  </w:rPr>
                  <m:t>Norm</m:t>
                </m:r>
                <m:d>
                  <m:dPr>
                    <m:ctrlPr>
                      <w:rPr>
                        <w:rFonts w:ascii="Cambria Math" w:hAnsi="Cambria Math"/>
                        <w:i/>
                      </w:rPr>
                    </m:ctrlPr>
                  </m:dPr>
                  <m:e>
                    <m:r>
                      <w:rPr>
                        <w:rFonts w:ascii="Cambria Math" w:hAnsi="Cambria Math"/>
                      </w:rPr>
                      <m:t>m=0, τ=</m:t>
                    </m:r>
                    <m:sSub>
                      <m:sSubPr>
                        <m:ctrlPr>
                          <w:rPr>
                            <w:rFonts w:ascii="Cambria Math" w:hAnsi="Cambria Math"/>
                            <w:i/>
                          </w:rPr>
                        </m:ctrlPr>
                      </m:sSubPr>
                      <m:e>
                        <m:r>
                          <w:rPr>
                            <w:rFonts w:ascii="Cambria Math" w:hAnsi="Cambria Math"/>
                          </w:rPr>
                          <m:t>τ</m:t>
                        </m:r>
                      </m:e>
                      <m:sub>
                        <m:r>
                          <w:rPr>
                            <w:rFonts w:ascii="Cambria Math" w:hAnsi="Cambria Math"/>
                          </w:rPr>
                          <m:t>y/l</m:t>
                        </m:r>
                      </m:sub>
                    </m:sSub>
                  </m:e>
                </m:d>
              </m:oMath>
            </m:oMathPara>
          </w:p>
        </w:tc>
        <w:tc>
          <w:tcPr>
            <w:tcW w:w="3939" w:type="dxa"/>
            <w:vAlign w:val="center"/>
          </w:tcPr>
          <w:p w14:paraId="4CA5697B" w14:textId="77777777" w:rsidR="008E2533" w:rsidRPr="00A95954" w:rsidRDefault="00C113F5" w:rsidP="00BF699B">
            <w:pPr>
              <w:keepNext/>
              <w:keepLines/>
              <w:spacing w:line="360" w:lineRule="auto"/>
              <w:jc w:val="center"/>
            </w:pPr>
            <m:oMathPara>
              <m:oMath>
                <m:sSub>
                  <m:sSubPr>
                    <m:ctrlPr>
                      <w:rPr>
                        <w:rFonts w:ascii="Cambria Math" w:hAnsi="Cambria Math"/>
                        <w:i/>
                      </w:rPr>
                    </m:ctrlPr>
                  </m:sSubPr>
                  <m:e>
                    <m:r>
                      <w:rPr>
                        <w:rFonts w:ascii="Cambria Math" w:hAnsi="Cambria Math"/>
                      </w:rPr>
                      <m:t>β</m:t>
                    </m:r>
                  </m:e>
                  <m:sub>
                    <m:r>
                      <w:rPr>
                        <w:rFonts w:ascii="Cambria Math" w:hAnsi="Cambria Math"/>
                      </w:rPr>
                      <m:t>y</m:t>
                    </m:r>
                  </m:sub>
                </m:sSub>
                <m:r>
                  <w:rPr>
                    <w:rFonts w:ascii="Cambria Math" w:hAnsi="Cambria Math"/>
                  </w:rPr>
                  <m:t xml:space="preserve"> ~ </m:t>
                </m:r>
                <m:r>
                  <m:rPr>
                    <m:sty m:val="p"/>
                  </m:rPr>
                  <w:rPr>
                    <w:rFonts w:ascii="Cambria Math" w:hAnsi="Cambria Math"/>
                  </w:rPr>
                  <m:t>Norm</m:t>
                </m:r>
                <m:d>
                  <m:dPr>
                    <m:ctrlPr>
                      <w:rPr>
                        <w:rFonts w:ascii="Cambria Math" w:hAnsi="Cambria Math"/>
                      </w:rPr>
                    </m:ctrlPr>
                  </m:dPr>
                  <m:e>
                    <m:r>
                      <w:rPr>
                        <w:rFonts w:ascii="Cambria Math" w:hAnsi="Cambria Math"/>
                      </w:rPr>
                      <m:t>m=0, τ=0.001</m:t>
                    </m:r>
                  </m:e>
                </m:d>
              </m:oMath>
            </m:oMathPara>
          </w:p>
          <w:p w14:paraId="00CC77A4" w14:textId="77777777" w:rsidR="008E2533" w:rsidRPr="00A95954"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w</m:t>
                    </m:r>
                  </m:sub>
                </m:sSub>
                <m:r>
                  <w:rPr>
                    <w:rFonts w:ascii="Cambria Math" w:hAnsi="Cambria Math"/>
                  </w:rPr>
                  <m:t xml:space="preserve"> ~ </m:t>
                </m:r>
                <m:r>
                  <m:rPr>
                    <m:sty m:val="p"/>
                  </m:rPr>
                  <w:rPr>
                    <w:rFonts w:ascii="Cambria Math" w:hAnsi="Cambria Math"/>
                  </w:rPr>
                  <m:t>Norm</m:t>
                </m:r>
                <m:d>
                  <m:dPr>
                    <m:ctrlPr>
                      <w:rPr>
                        <w:rFonts w:ascii="Cambria Math" w:hAnsi="Cambria Math"/>
                        <w:i/>
                      </w:rPr>
                    </m:ctrlPr>
                  </m:dPr>
                  <m:e>
                    <m:r>
                      <w:rPr>
                        <w:rFonts w:ascii="Cambria Math" w:hAnsi="Cambria Math"/>
                      </w:rPr>
                      <m:t>m=0, τ=</m:t>
                    </m:r>
                    <m:sSub>
                      <m:sSubPr>
                        <m:ctrlPr>
                          <w:rPr>
                            <w:rFonts w:ascii="Cambria Math" w:hAnsi="Cambria Math"/>
                            <w:i/>
                          </w:rPr>
                        </m:ctrlPr>
                      </m:sSubPr>
                      <m:e>
                        <m:r>
                          <w:rPr>
                            <w:rFonts w:ascii="Cambria Math" w:hAnsi="Cambria Math"/>
                          </w:rPr>
                          <m:t>τ</m:t>
                        </m:r>
                      </m:e>
                      <m:sub>
                        <m:r>
                          <w:rPr>
                            <w:rFonts w:ascii="Cambria Math" w:hAnsi="Cambria Math"/>
                          </w:rPr>
                          <m:t>w</m:t>
                        </m:r>
                      </m:sub>
                    </m:sSub>
                  </m:e>
                </m:d>
              </m:oMath>
            </m:oMathPara>
          </w:p>
          <w:p w14:paraId="7D899902" w14:textId="5F4E5053" w:rsidR="008E2533" w:rsidRPr="008E2533"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θ</m:t>
                    </m:r>
                  </m:e>
                  <m:sub>
                    <m:r>
                      <w:rPr>
                        <w:rFonts w:ascii="Cambria Math" w:hAnsi="Cambria Math"/>
                      </w:rPr>
                      <m:t>y/l</m:t>
                    </m:r>
                  </m:sub>
                </m:sSub>
                <m:r>
                  <w:rPr>
                    <w:rFonts w:ascii="Cambria Math" w:hAnsi="Cambria Math"/>
                  </w:rPr>
                  <m:t xml:space="preserve"> ~ </m:t>
                </m:r>
                <m:r>
                  <m:rPr>
                    <m:sty m:val="p"/>
                  </m:rPr>
                  <w:rPr>
                    <w:rFonts w:ascii="Cambria Math" w:hAnsi="Cambria Math"/>
                  </w:rPr>
                  <m:t>Norm</m:t>
                </m:r>
                <m:d>
                  <m:dPr>
                    <m:ctrlPr>
                      <w:rPr>
                        <w:rFonts w:ascii="Cambria Math" w:hAnsi="Cambria Math"/>
                        <w:i/>
                      </w:rPr>
                    </m:ctrlPr>
                  </m:dPr>
                  <m:e>
                    <m:r>
                      <w:rPr>
                        <w:rFonts w:ascii="Cambria Math" w:hAnsi="Cambria Math"/>
                      </w:rPr>
                      <m:t>m=0, τ=</m:t>
                    </m:r>
                    <m:sSub>
                      <m:sSubPr>
                        <m:ctrlPr>
                          <w:rPr>
                            <w:rFonts w:ascii="Cambria Math" w:hAnsi="Cambria Math"/>
                            <w:i/>
                          </w:rPr>
                        </m:ctrlPr>
                      </m:sSubPr>
                      <m:e>
                        <m:r>
                          <w:rPr>
                            <w:rFonts w:ascii="Cambria Math" w:hAnsi="Cambria Math"/>
                          </w:rPr>
                          <m:t>τ</m:t>
                        </m:r>
                      </m:e>
                      <m:sub>
                        <m:r>
                          <w:rPr>
                            <w:rFonts w:ascii="Cambria Math" w:hAnsi="Cambria Math"/>
                          </w:rPr>
                          <m:t>y/l</m:t>
                        </m:r>
                      </m:sub>
                    </m:sSub>
                  </m:e>
                </m:d>
              </m:oMath>
            </m:oMathPara>
          </w:p>
        </w:tc>
      </w:tr>
      <w:tr w:rsidR="008E2533" w14:paraId="1E6BB116" w14:textId="77777777" w:rsidTr="004F1F24">
        <w:tc>
          <w:tcPr>
            <w:tcW w:w="1869" w:type="dxa"/>
            <w:tcBorders>
              <w:bottom w:val="single" w:sz="4" w:space="0" w:color="auto"/>
            </w:tcBorders>
            <w:vAlign w:val="center"/>
          </w:tcPr>
          <w:p w14:paraId="553F6471" w14:textId="5BB5434B" w:rsidR="008E2533" w:rsidRDefault="008E2533" w:rsidP="00BF699B">
            <w:pPr>
              <w:keepNext/>
              <w:keepLines/>
              <w:spacing w:line="360" w:lineRule="auto"/>
            </w:pPr>
            <w:r>
              <w:t>Hyperparameters</w:t>
            </w:r>
          </w:p>
        </w:tc>
        <w:tc>
          <w:tcPr>
            <w:tcW w:w="3768" w:type="dxa"/>
            <w:tcBorders>
              <w:bottom w:val="single" w:sz="4" w:space="0" w:color="auto"/>
            </w:tcBorders>
            <w:vAlign w:val="center"/>
          </w:tcPr>
          <w:p w14:paraId="7ED0135D" w14:textId="77777777" w:rsidR="008E2533" w:rsidRPr="0054372A"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τ</m:t>
                    </m:r>
                  </m:e>
                  <m:sub>
                    <m:r>
                      <w:rPr>
                        <w:rFonts w:ascii="Cambria Math" w:hAnsi="Cambria Math"/>
                      </w:rPr>
                      <m:t>w</m:t>
                    </m:r>
                  </m:sub>
                </m:sSub>
                <m:r>
                  <w:rPr>
                    <w:rFonts w:ascii="Cambria Math" w:hAnsi="Cambria Math"/>
                  </w:rPr>
                  <m:t xml:space="preserve"> ~ </m:t>
                </m:r>
                <m:r>
                  <m:rPr>
                    <m:sty m:val="p"/>
                  </m:rPr>
                  <w:rPr>
                    <w:rFonts w:ascii="Cambria Math" w:hAnsi="Cambria Math"/>
                  </w:rPr>
                  <m:t>Gamma</m:t>
                </m:r>
                <m:d>
                  <m:dPr>
                    <m:ctrlPr>
                      <w:rPr>
                        <w:rFonts w:ascii="Cambria Math" w:hAnsi="Cambria Math"/>
                      </w:rPr>
                    </m:ctrlPr>
                  </m:dPr>
                  <m:e>
                    <m:r>
                      <w:rPr>
                        <w:rFonts w:ascii="Cambria Math" w:hAnsi="Cambria Math"/>
                      </w:rPr>
                      <m:t>0</m:t>
                    </m:r>
                    <m:r>
                      <m:rPr>
                        <m:sty m:val="p"/>
                      </m:rPr>
                      <w:rPr>
                        <w:rFonts w:ascii="Cambria Math" w:hAnsi="Cambria Math"/>
                      </w:rPr>
                      <m:t>.001, 0.001</m:t>
                    </m:r>
                  </m:e>
                </m:d>
              </m:oMath>
            </m:oMathPara>
          </w:p>
          <w:p w14:paraId="3414F2C3" w14:textId="51BAA0B1" w:rsidR="008E2533" w:rsidRPr="008E2533"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τ</m:t>
                    </m:r>
                  </m:e>
                  <m:sub>
                    <m:r>
                      <w:rPr>
                        <w:rFonts w:ascii="Cambria Math" w:hAnsi="Cambria Math"/>
                      </w:rPr>
                      <m:t>y/l</m:t>
                    </m:r>
                  </m:sub>
                </m:sSub>
                <m:r>
                  <w:rPr>
                    <w:rFonts w:ascii="Cambria Math" w:hAnsi="Cambria Math"/>
                  </w:rPr>
                  <m:t xml:space="preserve"> ~ </m:t>
                </m:r>
                <m:r>
                  <m:rPr>
                    <m:sty m:val="p"/>
                  </m:rPr>
                  <w:rPr>
                    <w:rFonts w:ascii="Cambria Math" w:hAnsi="Cambria Math"/>
                  </w:rPr>
                  <m:t>Gamma</m:t>
                </m:r>
                <m:d>
                  <m:dPr>
                    <m:ctrlPr>
                      <w:rPr>
                        <w:rFonts w:ascii="Cambria Math" w:hAnsi="Cambria Math"/>
                      </w:rPr>
                    </m:ctrlPr>
                  </m:dPr>
                  <m:e>
                    <m:r>
                      <m:rPr>
                        <m:sty m:val="p"/>
                      </m:rPr>
                      <w:rPr>
                        <w:rFonts w:ascii="Cambria Math" w:hAnsi="Cambria Math"/>
                      </w:rPr>
                      <m:t>0.001, 0.001</m:t>
                    </m:r>
                  </m:e>
                </m:d>
              </m:oMath>
            </m:oMathPara>
          </w:p>
        </w:tc>
        <w:tc>
          <w:tcPr>
            <w:tcW w:w="3939" w:type="dxa"/>
            <w:tcBorders>
              <w:bottom w:val="single" w:sz="4" w:space="0" w:color="auto"/>
            </w:tcBorders>
            <w:vAlign w:val="center"/>
          </w:tcPr>
          <w:p w14:paraId="482253B3" w14:textId="77777777" w:rsidR="008E2533" w:rsidRPr="0054372A"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τ</m:t>
                    </m:r>
                  </m:e>
                  <m:sub>
                    <m:r>
                      <w:rPr>
                        <w:rFonts w:ascii="Cambria Math" w:hAnsi="Cambria Math"/>
                      </w:rPr>
                      <m:t>w</m:t>
                    </m:r>
                  </m:sub>
                </m:sSub>
                <m:r>
                  <w:rPr>
                    <w:rFonts w:ascii="Cambria Math" w:hAnsi="Cambria Math"/>
                  </w:rPr>
                  <m:t xml:space="preserve"> ~ </m:t>
                </m:r>
                <m:r>
                  <m:rPr>
                    <m:sty m:val="p"/>
                  </m:rPr>
                  <w:rPr>
                    <w:rFonts w:ascii="Cambria Math" w:hAnsi="Cambria Math"/>
                  </w:rPr>
                  <m:t>Gamma</m:t>
                </m:r>
                <m:d>
                  <m:dPr>
                    <m:ctrlPr>
                      <w:rPr>
                        <w:rFonts w:ascii="Cambria Math" w:hAnsi="Cambria Math"/>
                      </w:rPr>
                    </m:ctrlPr>
                  </m:dPr>
                  <m:e>
                    <m:r>
                      <w:rPr>
                        <w:rFonts w:ascii="Cambria Math" w:hAnsi="Cambria Math"/>
                      </w:rPr>
                      <m:t>0</m:t>
                    </m:r>
                    <m:r>
                      <m:rPr>
                        <m:sty m:val="p"/>
                      </m:rPr>
                      <w:rPr>
                        <w:rFonts w:ascii="Cambria Math" w:hAnsi="Cambria Math"/>
                      </w:rPr>
                      <m:t>.001, 0.001</m:t>
                    </m:r>
                  </m:e>
                </m:d>
              </m:oMath>
            </m:oMathPara>
          </w:p>
          <w:p w14:paraId="22B1EA06" w14:textId="44E66B79" w:rsidR="008E2533" w:rsidRPr="008E2533" w:rsidRDefault="00C113F5" w:rsidP="00BF699B">
            <w:pPr>
              <w:keepNext/>
              <w:keepLines/>
              <w:spacing w:line="360" w:lineRule="auto"/>
              <w:jc w:val="center"/>
              <w:rPr>
                <w:i/>
              </w:rPr>
            </w:pPr>
            <m:oMathPara>
              <m:oMath>
                <m:sSub>
                  <m:sSubPr>
                    <m:ctrlPr>
                      <w:rPr>
                        <w:rFonts w:ascii="Cambria Math" w:hAnsi="Cambria Math"/>
                        <w:i/>
                      </w:rPr>
                    </m:ctrlPr>
                  </m:sSubPr>
                  <m:e>
                    <m:r>
                      <w:rPr>
                        <w:rFonts w:ascii="Cambria Math" w:hAnsi="Cambria Math"/>
                      </w:rPr>
                      <m:t>τ</m:t>
                    </m:r>
                  </m:e>
                  <m:sub>
                    <m:r>
                      <w:rPr>
                        <w:rFonts w:ascii="Cambria Math" w:hAnsi="Cambria Math"/>
                      </w:rPr>
                      <m:t>y/l</m:t>
                    </m:r>
                  </m:sub>
                </m:sSub>
                <m:r>
                  <w:rPr>
                    <w:rFonts w:ascii="Cambria Math" w:hAnsi="Cambria Math"/>
                  </w:rPr>
                  <m:t xml:space="preserve"> ~ </m:t>
                </m:r>
                <m:r>
                  <m:rPr>
                    <m:sty m:val="p"/>
                  </m:rPr>
                  <w:rPr>
                    <w:rFonts w:ascii="Cambria Math" w:hAnsi="Cambria Math"/>
                  </w:rPr>
                  <m:t>Gamma</m:t>
                </m:r>
                <m:d>
                  <m:dPr>
                    <m:ctrlPr>
                      <w:rPr>
                        <w:rFonts w:ascii="Cambria Math" w:hAnsi="Cambria Math"/>
                      </w:rPr>
                    </m:ctrlPr>
                  </m:dPr>
                  <m:e>
                    <m:r>
                      <m:rPr>
                        <m:sty m:val="p"/>
                      </m:rPr>
                      <w:rPr>
                        <w:rFonts w:ascii="Cambria Math" w:hAnsi="Cambria Math"/>
                      </w:rPr>
                      <m:t>0.001, 0.001</m:t>
                    </m:r>
                  </m:e>
                </m:d>
              </m:oMath>
            </m:oMathPara>
          </w:p>
        </w:tc>
      </w:tr>
    </w:tbl>
    <w:p w14:paraId="552F7831" w14:textId="77777777" w:rsidR="008E2533" w:rsidRDefault="008E2533" w:rsidP="00BF699B">
      <w:pPr>
        <w:keepNext/>
        <w:keepLines/>
        <w:rPr>
          <w:i/>
        </w:rPr>
      </w:pPr>
      <w:r>
        <w:rPr>
          <w:i/>
        </w:rPr>
        <w:t xml:space="preserve">i </w:t>
      </w:r>
      <w:r w:rsidRPr="00A1748C">
        <w:t>= site</w:t>
      </w:r>
      <w:r>
        <w:t>, where each site is a unique beach seined sample at a location/date</w:t>
      </w:r>
    </w:p>
    <w:p w14:paraId="1922DF72" w14:textId="77777777" w:rsidR="008E2533" w:rsidRPr="002E676F" w:rsidRDefault="008E2533" w:rsidP="00BF699B">
      <w:pPr>
        <w:keepNext/>
        <w:keepLines/>
        <w:rPr>
          <w:i/>
        </w:rPr>
      </w:pPr>
      <w:r>
        <w:rPr>
          <w:i/>
        </w:rPr>
        <w:t xml:space="preserve">f </w:t>
      </w:r>
      <w:r w:rsidRPr="00A1748C">
        <w:t>= fish number</w:t>
      </w:r>
      <w:r>
        <w:t xml:space="preserve">, different replicate fish collected from the same site </w:t>
      </w:r>
      <w:r>
        <w:rPr>
          <w:i/>
        </w:rPr>
        <w:t>i</w:t>
      </w:r>
    </w:p>
    <w:p w14:paraId="69E2E49D" w14:textId="77777777" w:rsidR="008E2533" w:rsidRDefault="008E2533" w:rsidP="00BF699B">
      <w:pPr>
        <w:keepNext/>
        <w:keepLines/>
        <w:rPr>
          <w:i/>
        </w:rPr>
      </w:pPr>
      <w:r>
        <w:rPr>
          <w:i/>
        </w:rPr>
        <w:t xml:space="preserve">j </w:t>
      </w:r>
      <w:r w:rsidRPr="00A1748C">
        <w:t>= stage</w:t>
      </w:r>
      <w:r>
        <w:t xml:space="preserve"> of lice (copepodid, chalimus or motile) collected from fish </w:t>
      </w:r>
      <w:r>
        <w:rPr>
          <w:i/>
        </w:rPr>
        <w:t xml:space="preserve">f </w:t>
      </w:r>
      <w:r>
        <w:t xml:space="preserve">from site </w:t>
      </w:r>
      <w:r>
        <w:rPr>
          <w:i/>
        </w:rPr>
        <w:t>i</w:t>
      </w:r>
    </w:p>
    <w:p w14:paraId="3ED86635" w14:textId="77777777" w:rsidR="008E2533" w:rsidRPr="00A95954" w:rsidRDefault="008E2533" w:rsidP="00BF699B">
      <w:pPr>
        <w:keepNext/>
        <w:keepLines/>
      </w:pPr>
      <w:r w:rsidRPr="00A1748C">
        <w:rPr>
          <w:i/>
        </w:rPr>
        <w:t>y</w:t>
      </w:r>
      <w:r w:rsidRPr="00A1748C">
        <w:rPr>
          <w:i/>
          <w:vertAlign w:val="subscript"/>
        </w:rPr>
        <w:t>i</w:t>
      </w:r>
      <w:r>
        <w:t xml:space="preserve"> = year that site </w:t>
      </w:r>
      <w:r>
        <w:rPr>
          <w:i/>
        </w:rPr>
        <w:t xml:space="preserve">i </w:t>
      </w:r>
      <w:r>
        <w:t>was sampled (2001-2015)</w:t>
      </w:r>
    </w:p>
    <w:p w14:paraId="0ED5E47C" w14:textId="77777777" w:rsidR="008E2533" w:rsidRDefault="008E2533" w:rsidP="00BF699B">
      <w:pPr>
        <w:keepNext/>
        <w:keepLines/>
      </w:pPr>
      <w:r w:rsidRPr="00A1748C">
        <w:rPr>
          <w:i/>
        </w:rPr>
        <w:t>w</w:t>
      </w:r>
      <w:r w:rsidRPr="00A1748C">
        <w:rPr>
          <w:i/>
          <w:vertAlign w:val="subscript"/>
        </w:rPr>
        <w:t>i</w:t>
      </w:r>
      <w:r>
        <w:t xml:space="preserve"> = week of the year that site </w:t>
      </w:r>
      <w:r w:rsidRPr="00A1748C">
        <w:rPr>
          <w:i/>
        </w:rPr>
        <w:t>i</w:t>
      </w:r>
      <w:r>
        <w:t xml:space="preserve"> was sampled (9-31,32; 23 levels)</w:t>
      </w:r>
    </w:p>
    <w:p w14:paraId="2C5B1F9C" w14:textId="22343250" w:rsidR="008E2533" w:rsidRPr="008E2533" w:rsidRDefault="008E2533" w:rsidP="00BF699B">
      <w:pPr>
        <w:keepNext/>
        <w:keepLines/>
      </w:pPr>
      <w:r w:rsidRPr="004B2B5B">
        <w:rPr>
          <w:i/>
        </w:rPr>
        <w:t>l</w:t>
      </w:r>
      <w:r w:rsidRPr="004B2B5B">
        <w:rPr>
          <w:i/>
          <w:vertAlign w:val="subscript"/>
        </w:rPr>
        <w:t>i</w:t>
      </w:r>
      <w:r>
        <w:t xml:space="preserve"> = location of site </w:t>
      </w:r>
      <w:r w:rsidRPr="00A1748C">
        <w:rPr>
          <w:i/>
        </w:rPr>
        <w:t>i</w:t>
      </w:r>
      <w:r>
        <w:rPr>
          <w:i/>
        </w:rPr>
        <w:t xml:space="preserve"> </w:t>
      </w:r>
      <w:r>
        <w:t>(Burdwood, Glacier, Wicklow; 3 levels)</w:t>
      </w:r>
    </w:p>
    <w:p w14:paraId="5212AFCB" w14:textId="631CEAF6" w:rsidR="008E2533" w:rsidRPr="008E2533" w:rsidRDefault="008E2533" w:rsidP="00BF699B">
      <w:pPr>
        <w:keepNext/>
        <w:keepLines/>
      </w:pPr>
      <w:r>
        <w:rPr>
          <w:i/>
        </w:rPr>
        <w:t>n</w:t>
      </w:r>
      <w:r w:rsidRPr="004B2B5B">
        <w:rPr>
          <w:i/>
          <w:vertAlign w:val="subscript"/>
        </w:rPr>
        <w:t>i</w:t>
      </w:r>
      <w:r>
        <w:t xml:space="preserve"> = number of fish sampled at site </w:t>
      </w:r>
      <w:r w:rsidRPr="00A1748C">
        <w:rPr>
          <w:i/>
        </w:rPr>
        <w:t>i</w:t>
      </w:r>
    </w:p>
    <w:p w14:paraId="67194C67" w14:textId="77777777" w:rsidR="00AB13A2" w:rsidRDefault="00AB13A2" w:rsidP="00BF699B">
      <w:pPr>
        <w:spacing w:line="480" w:lineRule="auto"/>
        <w:rPr>
          <w:rFonts w:cs="Times New Roman"/>
        </w:rPr>
      </w:pPr>
    </w:p>
    <w:p w14:paraId="0A44750E" w14:textId="1F784D68" w:rsidR="00890269" w:rsidRDefault="00E166FE" w:rsidP="00890269">
      <w:pPr>
        <w:spacing w:line="480" w:lineRule="auto"/>
        <w:ind w:firstLine="720"/>
        <w:rPr>
          <w:rFonts w:cs="Times New Roman"/>
        </w:rPr>
      </w:pPr>
      <w:r>
        <w:rPr>
          <w:rFonts w:cs="Times New Roman"/>
        </w:rPr>
        <w:t>For the model of</w:t>
      </w:r>
      <w:r w:rsidR="00890269" w:rsidRPr="00361903">
        <w:rPr>
          <w:rFonts w:cs="Times New Roman"/>
        </w:rPr>
        <w:t xml:space="preserve"> prevalence, </w:t>
      </w:r>
      <w:r>
        <w:rPr>
          <w:rFonts w:cs="Times New Roman"/>
        </w:rPr>
        <w:t>we used a</w:t>
      </w:r>
      <w:r w:rsidR="00890269" w:rsidRPr="00361903">
        <w:rPr>
          <w:rFonts w:cs="Times New Roman"/>
        </w:rPr>
        <w:t xml:space="preserve"> binomial (logit link) generalised linear model with the same random effect structure described in the previous paragraph (</w:t>
      </w:r>
      <w:r w:rsidR="0028265B">
        <w:rPr>
          <w:rFonts w:cs="Times New Roman"/>
        </w:rPr>
        <w:fldChar w:fldCharType="begin"/>
      </w:r>
      <w:r w:rsidR="0028265B">
        <w:rPr>
          <w:rFonts w:cs="Times New Roman"/>
        </w:rPr>
        <w:instrText xml:space="preserve"> REF _Ref318959084 \h </w:instrText>
      </w:r>
      <w:r w:rsidR="0028265B">
        <w:rPr>
          <w:rFonts w:cs="Times New Roman"/>
        </w:rPr>
      </w:r>
      <w:r w:rsidR="0028265B">
        <w:rPr>
          <w:rFonts w:cs="Times New Roman"/>
        </w:rPr>
        <w:fldChar w:fldCharType="separate"/>
      </w:r>
      <w:r w:rsidR="0028265B">
        <w:t xml:space="preserve">Table S </w:t>
      </w:r>
      <w:r w:rsidR="0028265B">
        <w:rPr>
          <w:noProof/>
        </w:rPr>
        <w:t>1</w:t>
      </w:r>
      <w:r w:rsidR="0028265B">
        <w:rPr>
          <w:rFonts w:cs="Times New Roman"/>
        </w:rPr>
        <w:fldChar w:fldCharType="end"/>
      </w:r>
      <w:r w:rsidR="0028265B">
        <w:rPr>
          <w:rFonts w:cs="Times New Roman"/>
        </w:rPr>
        <w:t xml:space="preserve">, </w:t>
      </w:r>
      <w:r w:rsidR="0028265B">
        <w:rPr>
          <w:rFonts w:cs="Times New Roman"/>
        </w:rPr>
        <w:fldChar w:fldCharType="begin"/>
      </w:r>
      <w:r w:rsidR="0028265B">
        <w:rPr>
          <w:rFonts w:cs="Times New Roman"/>
        </w:rPr>
        <w:instrText xml:space="preserve"> REF _Ref318959750 \h </w:instrText>
      </w:r>
      <w:r w:rsidR="0028265B">
        <w:rPr>
          <w:rFonts w:cs="Times New Roman"/>
        </w:rPr>
      </w:r>
      <w:r w:rsidR="0028265B">
        <w:rPr>
          <w:rFonts w:cs="Times New Roman"/>
        </w:rPr>
        <w:fldChar w:fldCharType="separate"/>
      </w:r>
      <w:r w:rsidR="0028265B">
        <w:t xml:space="preserve">Fig. S </w:t>
      </w:r>
      <w:r w:rsidR="0028265B">
        <w:rPr>
          <w:noProof/>
        </w:rPr>
        <w:t>4</w:t>
      </w:r>
      <w:r w:rsidR="0028265B">
        <w:rPr>
          <w:rFonts w:cs="Times New Roman"/>
        </w:rPr>
        <w:fldChar w:fldCharType="end"/>
      </w:r>
      <w:r w:rsidR="00890269" w:rsidRPr="00361903">
        <w:rPr>
          <w:rFonts w:cs="Times New Roman"/>
        </w:rPr>
        <w:t xml:space="preserve">).  Summaries of parameter estimates and convergence diagnostics for all three models (abundance by stage, summed abundance and prevalence) are given in a supplemental Excel file. </w:t>
      </w:r>
      <w:r w:rsidR="004E5931">
        <w:rPr>
          <w:rFonts w:cs="Times New Roman"/>
        </w:rPr>
        <w:t>The overdispersion parameter for the negative binomial distribution of sea lice was 0.612 (0.5</w:t>
      </w:r>
      <w:r w:rsidR="0028265B">
        <w:rPr>
          <w:rFonts w:cs="Times New Roman"/>
        </w:rPr>
        <w:t>90</w:t>
      </w:r>
      <w:r w:rsidR="004E5931">
        <w:rPr>
          <w:rFonts w:cs="Times New Roman"/>
        </w:rPr>
        <w:t>, 0.634). The random effects for location:year and week were both important, and came out as similar in magnitude for both the models of abundance and prevalence (</w:t>
      </w:r>
      <w:r w:rsidR="004E5931">
        <w:rPr>
          <w:rFonts w:cs="Times New Roman"/>
        </w:rPr>
        <w:fldChar w:fldCharType="begin"/>
      </w:r>
      <w:r w:rsidR="004E5931">
        <w:rPr>
          <w:rFonts w:cs="Times New Roman"/>
        </w:rPr>
        <w:instrText xml:space="preserve"> REF _Ref317854920 \h </w:instrText>
      </w:r>
      <w:r w:rsidR="004E5931">
        <w:rPr>
          <w:rFonts w:cs="Times New Roman"/>
        </w:rPr>
      </w:r>
      <w:r w:rsidR="004E5931">
        <w:rPr>
          <w:rFonts w:cs="Times New Roman"/>
        </w:rPr>
        <w:fldChar w:fldCharType="separate"/>
      </w:r>
      <w:r w:rsidR="004E5931">
        <w:t xml:space="preserve">Fig. S </w:t>
      </w:r>
      <w:r w:rsidR="004E5931">
        <w:rPr>
          <w:noProof/>
        </w:rPr>
        <w:t>6</w:t>
      </w:r>
      <w:r w:rsidR="004E5931">
        <w:rPr>
          <w:rFonts w:cs="Times New Roman"/>
        </w:rPr>
        <w:fldChar w:fldCharType="end"/>
      </w:r>
      <w:r w:rsidR="00D71396">
        <w:rPr>
          <w:rFonts w:cs="Times New Roman"/>
        </w:rPr>
        <w:t xml:space="preserve">, </w:t>
      </w:r>
      <w:r w:rsidR="00D71396">
        <w:rPr>
          <w:rFonts w:cs="Times New Roman"/>
        </w:rPr>
        <w:fldChar w:fldCharType="begin"/>
      </w:r>
      <w:r w:rsidR="00D71396">
        <w:rPr>
          <w:rFonts w:cs="Times New Roman"/>
        </w:rPr>
        <w:instrText xml:space="preserve"> REF _Ref318960866 \h </w:instrText>
      </w:r>
      <w:r w:rsidR="00D71396">
        <w:rPr>
          <w:rFonts w:cs="Times New Roman"/>
        </w:rPr>
      </w:r>
      <w:r w:rsidR="00D71396">
        <w:rPr>
          <w:rFonts w:cs="Times New Roman"/>
        </w:rPr>
        <w:fldChar w:fldCharType="separate"/>
      </w:r>
      <w:r w:rsidR="00D71396">
        <w:t xml:space="preserve">Fig. S </w:t>
      </w:r>
      <w:r w:rsidR="00D71396">
        <w:rPr>
          <w:noProof/>
        </w:rPr>
        <w:t>7</w:t>
      </w:r>
      <w:r w:rsidR="00D71396">
        <w:rPr>
          <w:rFonts w:cs="Times New Roman"/>
        </w:rPr>
        <w:fldChar w:fldCharType="end"/>
      </w:r>
      <w:r w:rsidR="004E5931">
        <w:rPr>
          <w:rFonts w:cs="Times New Roman"/>
        </w:rPr>
        <w:t>).</w:t>
      </w:r>
    </w:p>
    <w:p w14:paraId="53D4B61A" w14:textId="77777777" w:rsidR="00E720FF" w:rsidRDefault="00E720FF" w:rsidP="00C57EAC">
      <w:pPr>
        <w:pStyle w:val="Caption"/>
        <w:rPr>
          <w:highlight w:val="yellow"/>
        </w:rPr>
      </w:pPr>
    </w:p>
    <w:p w14:paraId="17484641" w14:textId="77777777" w:rsidR="0085061A" w:rsidRDefault="0085061A" w:rsidP="0085061A">
      <w:pPr>
        <w:pStyle w:val="Caption"/>
        <w:jc w:val="center"/>
      </w:pPr>
      <w:r>
        <w:rPr>
          <w:noProof/>
        </w:rPr>
        <w:lastRenderedPageBreak/>
        <w:drawing>
          <wp:inline distT="0" distB="0" distL="0" distR="0" wp14:anchorId="5847CFF4" wp14:editId="708AA38F">
            <wp:extent cx="394208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4.pdf"/>
                    <pic:cNvPicPr/>
                  </pic:nvPicPr>
                  <pic:blipFill>
                    <a:blip r:embed="rId12">
                      <a:extLst>
                        <a:ext uri="{28A0092B-C50C-407E-A947-70E740481C1C}">
                          <a14:useLocalDpi xmlns:a14="http://schemas.microsoft.com/office/drawing/2010/main" val="0"/>
                        </a:ext>
                      </a:extLst>
                    </a:blip>
                    <a:stretch>
                      <a:fillRect/>
                    </a:stretch>
                  </pic:blipFill>
                  <pic:spPr>
                    <a:xfrm>
                      <a:off x="0" y="0"/>
                      <a:ext cx="3942080" cy="2463800"/>
                    </a:xfrm>
                    <a:prstGeom prst="rect">
                      <a:avLst/>
                    </a:prstGeom>
                  </pic:spPr>
                </pic:pic>
              </a:graphicData>
            </a:graphic>
          </wp:inline>
        </w:drawing>
      </w:r>
    </w:p>
    <w:p w14:paraId="305976B5" w14:textId="09858E4F" w:rsidR="00C57EAC" w:rsidRPr="00361903" w:rsidRDefault="00C57EAC" w:rsidP="0085061A">
      <w:pPr>
        <w:pStyle w:val="Caption"/>
        <w:spacing w:line="240" w:lineRule="auto"/>
        <w:rPr>
          <w:rFonts w:cs="Times New Roman"/>
        </w:rPr>
      </w:pPr>
      <w:bookmarkStart w:id="6" w:name="_Ref318959750"/>
      <w:r>
        <w:t xml:space="preserve">Fig. S </w:t>
      </w:r>
      <w:fldSimple w:instr=" SEQ Figure_S \* ARABIC ">
        <w:r w:rsidR="001D280A">
          <w:rPr>
            <w:noProof/>
          </w:rPr>
          <w:t>4</w:t>
        </w:r>
      </w:fldSimple>
      <w:bookmarkEnd w:id="6"/>
      <w:r>
        <w:t>. Model-estimated prevalence of sea lice</w:t>
      </w:r>
      <w:r w:rsidR="005C29DC">
        <w:t xml:space="preserve"> (± 95% credible intervals)</w:t>
      </w:r>
      <w:r>
        <w:t>, calculated as the proportion of juvenile salmon sampled that had at least one louse</w:t>
      </w:r>
      <w:r w:rsidRPr="00C57EAC">
        <w:t xml:space="preserve"> </w:t>
      </w:r>
      <w:r>
        <w:t>of any species or stage.</w:t>
      </w:r>
    </w:p>
    <w:p w14:paraId="64E9C26A" w14:textId="77777777" w:rsidR="00B9161F" w:rsidRDefault="00B9161F" w:rsidP="00E720FF">
      <w:pPr>
        <w:keepNext/>
        <w:spacing w:line="480" w:lineRule="auto"/>
        <w:jc w:val="center"/>
      </w:pPr>
    </w:p>
    <w:p w14:paraId="7ACE4963" w14:textId="61A343A6" w:rsidR="00FA308D" w:rsidRDefault="0085061A" w:rsidP="00E720FF">
      <w:pPr>
        <w:keepNext/>
        <w:spacing w:line="480" w:lineRule="auto"/>
        <w:jc w:val="center"/>
      </w:pPr>
      <w:r>
        <w:rPr>
          <w:noProof/>
        </w:rPr>
        <w:drawing>
          <wp:inline distT="0" distB="0" distL="0" distR="0" wp14:anchorId="4F6721ED" wp14:editId="414033AB">
            <wp:extent cx="57658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5.pdf"/>
                    <pic:cNvPicPr/>
                  </pic:nvPicPr>
                  <pic:blipFill>
                    <a:blip r:embed="rId13">
                      <a:extLst>
                        <a:ext uri="{28A0092B-C50C-407E-A947-70E740481C1C}">
                          <a14:useLocalDpi xmlns:a14="http://schemas.microsoft.com/office/drawing/2010/main" val="0"/>
                        </a:ext>
                      </a:extLst>
                    </a:blip>
                    <a:stretch>
                      <a:fillRect/>
                    </a:stretch>
                  </pic:blipFill>
                  <pic:spPr>
                    <a:xfrm>
                      <a:off x="0" y="0"/>
                      <a:ext cx="5765800" cy="2743200"/>
                    </a:xfrm>
                    <a:prstGeom prst="rect">
                      <a:avLst/>
                    </a:prstGeom>
                  </pic:spPr>
                </pic:pic>
              </a:graphicData>
            </a:graphic>
          </wp:inline>
        </w:drawing>
      </w:r>
    </w:p>
    <w:p w14:paraId="62F70C59" w14:textId="515CCB51" w:rsidR="00E227EE" w:rsidRDefault="00FA308D" w:rsidP="0081060B">
      <w:pPr>
        <w:pStyle w:val="Caption"/>
        <w:spacing w:line="240" w:lineRule="auto"/>
      </w:pPr>
      <w:bookmarkStart w:id="7" w:name="_Ref309888705"/>
      <w:r>
        <w:t>Fig</w:t>
      </w:r>
      <w:r w:rsidR="00BD4366">
        <w:t>.</w:t>
      </w:r>
      <w:r>
        <w:t xml:space="preserve"> S </w:t>
      </w:r>
      <w:fldSimple w:instr=" SEQ Figure_S \* ARABIC ">
        <w:r w:rsidR="001D280A">
          <w:rPr>
            <w:noProof/>
          </w:rPr>
          <w:t>5</w:t>
        </w:r>
      </w:fldSimple>
      <w:bookmarkEnd w:id="7"/>
      <w:r w:rsidR="00C57EAC">
        <w:t>. Model-</w:t>
      </w:r>
      <w:r>
        <w:t xml:space="preserve">estimated abundance </w:t>
      </w:r>
      <w:r w:rsidR="00C57EAC">
        <w:t>(± 95% credible intervals) of</w:t>
      </w:r>
      <w:r w:rsidR="0085061A">
        <w:t xml:space="preserve"> </w:t>
      </w:r>
      <w:r w:rsidR="0085061A">
        <w:rPr>
          <w:i/>
        </w:rPr>
        <w:t>L. salmonis*</w:t>
      </w:r>
      <w:r w:rsidR="00C57EAC">
        <w:t xml:space="preserve"> sea lice</w:t>
      </w:r>
      <w:r>
        <w:t xml:space="preserve"> </w:t>
      </w:r>
      <w:r w:rsidR="0085061A">
        <w:t>by stage.</w:t>
      </w:r>
      <w:r>
        <w:t xml:space="preserve"> </w:t>
      </w:r>
      <w:r w:rsidR="0085061A">
        <w:t>*Note that c</w:t>
      </w:r>
      <w:r w:rsidR="00C57EAC">
        <w:t xml:space="preserve">halimus stage sea lice could not be distinguished to species, and so the estimates of </w:t>
      </w:r>
      <w:r w:rsidR="00C57EAC">
        <w:rPr>
          <w:i/>
        </w:rPr>
        <w:t xml:space="preserve">L. salmonis </w:t>
      </w:r>
      <w:r w:rsidR="00C57EAC">
        <w:t xml:space="preserve">for those stages may include </w:t>
      </w:r>
      <w:r w:rsidR="00C57EAC" w:rsidRPr="00C57EAC">
        <w:rPr>
          <w:i/>
        </w:rPr>
        <w:t>Caligus</w:t>
      </w:r>
      <w:r w:rsidR="00C57EAC">
        <w:t xml:space="preserve">. </w:t>
      </w:r>
      <w:r w:rsidR="0085061A">
        <w:t>I</w:t>
      </w:r>
      <w:r w:rsidR="008D555A">
        <w:t xml:space="preserve">n 2003, the fallowing of farms along </w:t>
      </w:r>
      <w:r w:rsidR="00F35C8C">
        <w:t xml:space="preserve">a major </w:t>
      </w:r>
      <w:r w:rsidR="008D555A">
        <w:t>juvenile salmon migration route was mandated by the BC provincial government, resulting in fewer farmed salmon in the area that year.</w:t>
      </w:r>
    </w:p>
    <w:p w14:paraId="7302ABEF" w14:textId="77777777" w:rsidR="00912374" w:rsidRPr="00912374" w:rsidRDefault="00912374" w:rsidP="00912374"/>
    <w:p w14:paraId="0E741180" w14:textId="77777777" w:rsidR="00912374" w:rsidRDefault="00912374" w:rsidP="001D280A">
      <w:pPr>
        <w:pStyle w:val="Heading2"/>
        <w:spacing w:line="240" w:lineRule="auto"/>
      </w:pPr>
      <w:bookmarkStart w:id="8" w:name="_Ref317423096"/>
      <w:r>
        <w:rPr>
          <w:noProof/>
        </w:rPr>
        <w:lastRenderedPageBreak/>
        <w:drawing>
          <wp:inline distT="0" distB="0" distL="0" distR="0" wp14:anchorId="5AF21CD2" wp14:editId="428C7698">
            <wp:extent cx="5400000" cy="3425551"/>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6.pdf"/>
                    <pic:cNvPicPr/>
                  </pic:nvPicPr>
                  <pic:blipFill>
                    <a:blip r:embed="rId14">
                      <a:extLst>
                        <a:ext uri="{28A0092B-C50C-407E-A947-70E740481C1C}">
                          <a14:useLocalDpi xmlns:a14="http://schemas.microsoft.com/office/drawing/2010/main" val="0"/>
                        </a:ext>
                      </a:extLst>
                    </a:blip>
                    <a:stretch>
                      <a:fillRect/>
                    </a:stretch>
                  </pic:blipFill>
                  <pic:spPr>
                    <a:xfrm>
                      <a:off x="0" y="0"/>
                      <a:ext cx="5400000" cy="3425551"/>
                    </a:xfrm>
                    <a:prstGeom prst="rect">
                      <a:avLst/>
                    </a:prstGeom>
                  </pic:spPr>
                </pic:pic>
              </a:graphicData>
            </a:graphic>
          </wp:inline>
        </w:drawing>
      </w:r>
    </w:p>
    <w:p w14:paraId="0C7B06C1" w14:textId="1D946232" w:rsidR="0081060B" w:rsidRDefault="00912374" w:rsidP="00912374">
      <w:pPr>
        <w:pStyle w:val="Caption"/>
        <w:spacing w:line="240" w:lineRule="auto"/>
      </w:pPr>
      <w:bookmarkStart w:id="9" w:name="_Ref317854920"/>
      <w:r>
        <w:t xml:space="preserve">Fig. S </w:t>
      </w:r>
      <w:fldSimple w:instr=" SEQ Figure_S \* ARABIC ">
        <w:r w:rsidR="001D280A">
          <w:rPr>
            <w:noProof/>
          </w:rPr>
          <w:t>6</w:t>
        </w:r>
      </w:fldSimple>
      <w:bookmarkEnd w:id="9"/>
      <w:r>
        <w:t xml:space="preserve">. Posterior </w:t>
      </w:r>
      <w:r w:rsidR="00406AD5">
        <w:t>distributio</w:t>
      </w:r>
      <w:r w:rsidR="00263A5F">
        <w:t>n</w:t>
      </w:r>
      <w:r w:rsidR="00406AD5">
        <w:t>s</w:t>
      </w:r>
      <w:r>
        <w:t xml:space="preserve"> for the </w:t>
      </w:r>
      <w:r w:rsidR="00406AD5">
        <w:t>precision (</w:t>
      </w:r>
      <w:r w:rsidR="00406AD5" w:rsidRPr="00406AD5">
        <w:rPr>
          <w:i/>
        </w:rPr>
        <w:t>i.e</w:t>
      </w:r>
      <w:r w:rsidR="00406AD5">
        <w:t>., 1/variance)</w:t>
      </w:r>
      <w:r>
        <w:t xml:space="preserve"> in random effects for </w:t>
      </w:r>
      <w:r w:rsidR="00406AD5">
        <w:t xml:space="preserve">(a) </w:t>
      </w:r>
      <w:r>
        <w:t xml:space="preserve">year:location and </w:t>
      </w:r>
      <w:r w:rsidR="00406AD5">
        <w:t xml:space="preserve">(c) </w:t>
      </w:r>
      <w:r>
        <w:t>week from th</w:t>
      </w:r>
      <w:r w:rsidR="0012343D">
        <w:t>e model</w:t>
      </w:r>
      <w:r w:rsidR="00406AD5">
        <w:t xml:space="preserve"> </w:t>
      </w:r>
      <w:r w:rsidR="00E71DB5">
        <w:t>of</w:t>
      </w:r>
      <w:r w:rsidR="00406AD5">
        <w:t xml:space="preserve"> </w:t>
      </w:r>
      <w:r w:rsidR="00406AD5" w:rsidRPr="001D280A">
        <w:rPr>
          <w:b/>
        </w:rPr>
        <w:t>abundance by stage</w:t>
      </w:r>
      <w:r w:rsidR="00406AD5">
        <w:t xml:space="preserve">. </w:t>
      </w:r>
      <w:r>
        <w:t xml:space="preserve">The </w:t>
      </w:r>
      <w:r w:rsidR="00406AD5">
        <w:t>conditional estimates for the random effect sizes are shown in (b) and (d)</w:t>
      </w:r>
      <w:r>
        <w:t>.</w:t>
      </w:r>
    </w:p>
    <w:p w14:paraId="3CD0880D" w14:textId="77777777" w:rsidR="001D280A" w:rsidRDefault="001D280A" w:rsidP="001D280A">
      <w:pPr>
        <w:keepNext/>
      </w:pPr>
      <w:r>
        <w:rPr>
          <w:noProof/>
        </w:rPr>
        <w:drawing>
          <wp:inline distT="0" distB="0" distL="0" distR="0" wp14:anchorId="33997BE2" wp14:editId="3EDA4C92">
            <wp:extent cx="5400000" cy="342555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8.pdf"/>
                    <pic:cNvPicPr/>
                  </pic:nvPicPr>
                  <pic:blipFill>
                    <a:blip r:embed="rId15">
                      <a:extLst>
                        <a:ext uri="{28A0092B-C50C-407E-A947-70E740481C1C}">
                          <a14:useLocalDpi xmlns:a14="http://schemas.microsoft.com/office/drawing/2010/main" val="0"/>
                        </a:ext>
                      </a:extLst>
                    </a:blip>
                    <a:stretch>
                      <a:fillRect/>
                    </a:stretch>
                  </pic:blipFill>
                  <pic:spPr>
                    <a:xfrm>
                      <a:off x="0" y="0"/>
                      <a:ext cx="5400000" cy="3425550"/>
                    </a:xfrm>
                    <a:prstGeom prst="rect">
                      <a:avLst/>
                    </a:prstGeom>
                  </pic:spPr>
                </pic:pic>
              </a:graphicData>
            </a:graphic>
          </wp:inline>
        </w:drawing>
      </w:r>
    </w:p>
    <w:p w14:paraId="2295217E" w14:textId="75A67CE4" w:rsidR="00E67A3D" w:rsidRPr="00E67A3D" w:rsidRDefault="001D280A" w:rsidP="001D280A">
      <w:pPr>
        <w:pStyle w:val="Caption"/>
        <w:spacing w:line="240" w:lineRule="auto"/>
      </w:pPr>
      <w:bookmarkStart w:id="10" w:name="_Ref318960866"/>
      <w:r>
        <w:t>Fig</w:t>
      </w:r>
      <w:r w:rsidR="00DE4C0E">
        <w:t>.</w:t>
      </w:r>
      <w:r>
        <w:t xml:space="preserve"> S </w:t>
      </w:r>
      <w:r w:rsidR="00C113F5">
        <w:fldChar w:fldCharType="begin"/>
      </w:r>
      <w:r w:rsidR="00C113F5">
        <w:instrText xml:space="preserve"> SEQ Figure_S \* ARABIC </w:instrText>
      </w:r>
      <w:r w:rsidR="00C113F5">
        <w:fldChar w:fldCharType="separate"/>
      </w:r>
      <w:r>
        <w:rPr>
          <w:noProof/>
        </w:rPr>
        <w:t>7</w:t>
      </w:r>
      <w:r w:rsidR="00C113F5">
        <w:rPr>
          <w:noProof/>
        </w:rPr>
        <w:fldChar w:fldCharType="end"/>
      </w:r>
      <w:bookmarkEnd w:id="10"/>
      <w:r>
        <w:t>. Posterior distributions for the precision (</w:t>
      </w:r>
      <w:r w:rsidRPr="00406AD5">
        <w:rPr>
          <w:i/>
        </w:rPr>
        <w:t>i.e</w:t>
      </w:r>
      <w:r>
        <w:t xml:space="preserve">., 1/variance) in random effects for (a) year:location and (c) week from the model of </w:t>
      </w:r>
      <w:r>
        <w:rPr>
          <w:b/>
        </w:rPr>
        <w:t>prevalence</w:t>
      </w:r>
      <w:r>
        <w:t>. The conditional estimates for the random effect sizes are shown in (b) and (d).</w:t>
      </w:r>
    </w:p>
    <w:p w14:paraId="5A45650F" w14:textId="77777777" w:rsidR="00890269" w:rsidRPr="002B785A" w:rsidRDefault="00890269" w:rsidP="009C14B2">
      <w:pPr>
        <w:pStyle w:val="Heading2"/>
      </w:pPr>
      <w:r w:rsidRPr="002B785A">
        <w:lastRenderedPageBreak/>
        <w:t>Details of 2015 epizootic</w:t>
      </w:r>
      <w:bookmarkEnd w:id="8"/>
    </w:p>
    <w:p w14:paraId="4607F832" w14:textId="48252239" w:rsidR="00890269" w:rsidRDefault="00890269" w:rsidP="00890269">
      <w:pPr>
        <w:spacing w:line="480" w:lineRule="auto"/>
        <w:ind w:firstLine="720"/>
      </w:pPr>
      <w:r>
        <w:t xml:space="preserve">We summarized the progression of the 2015 sea louse epizootic on wild juvenile salmon by plotting the mean and 95% bootstrapped confidence intervals of the abundance of sea lice each week in April, May and June. Confidence intervals were estimated by bootstrapping: we resampled with replacement from the lice per fish at each location and week and calculated the mean of this bootstrapped sample. We repeated this 10 000 times to obtain 10 000 different bootstrapped means, and computed the 2.5% and 97.5% quantiles of the bootstrapped means.  </w:t>
      </w:r>
      <w:r>
        <w:fldChar w:fldCharType="begin"/>
      </w:r>
      <w:r>
        <w:instrText xml:space="preserve"> REF _Ref310593859 \h </w:instrText>
      </w:r>
      <w:r>
        <w:fldChar w:fldCharType="separate"/>
      </w:r>
      <w:r w:rsidR="00F43D4D">
        <w:t xml:space="preserve">Fig. S </w:t>
      </w:r>
      <w:r w:rsidR="00F43D4D">
        <w:rPr>
          <w:noProof/>
        </w:rPr>
        <w:t>8</w:t>
      </w:r>
      <w:r>
        <w:fldChar w:fldCharType="end"/>
      </w:r>
      <w:r>
        <w:t xml:space="preserve"> shows abundance</w:t>
      </w:r>
      <w:r w:rsidR="002727FB">
        <w:t xml:space="preserve"> </w:t>
      </w:r>
      <w:r w:rsidR="002727FB" w:rsidRPr="00C60B4C">
        <w:t>per fish</w:t>
      </w:r>
      <w:r>
        <w:t xml:space="preserve"> of motile stage </w:t>
      </w:r>
      <w:r>
        <w:rPr>
          <w:i/>
        </w:rPr>
        <w:t>L. salmonis</w:t>
      </w:r>
      <w:r>
        <w:t xml:space="preserve"> and the generalist sea louse, </w:t>
      </w:r>
      <w:r>
        <w:rPr>
          <w:i/>
        </w:rPr>
        <w:t>Caligus clemensi</w:t>
      </w:r>
      <w:r>
        <w:t xml:space="preserve">. </w:t>
      </w:r>
      <w:r>
        <w:fldChar w:fldCharType="begin"/>
      </w:r>
      <w:r>
        <w:instrText xml:space="preserve"> REF _Ref310593901 \h </w:instrText>
      </w:r>
      <w:r>
        <w:fldChar w:fldCharType="separate"/>
      </w:r>
      <w:r w:rsidR="00F43D4D">
        <w:t xml:space="preserve">Fig. S </w:t>
      </w:r>
      <w:r w:rsidR="00F43D4D">
        <w:rPr>
          <w:noProof/>
        </w:rPr>
        <w:t>9</w:t>
      </w:r>
      <w:r>
        <w:fldChar w:fldCharType="end"/>
      </w:r>
      <w:r>
        <w:t xml:space="preserve"> summarizes the different stages of </w:t>
      </w:r>
      <w:r>
        <w:rPr>
          <w:i/>
        </w:rPr>
        <w:t>L. salmonis</w:t>
      </w:r>
      <w:r>
        <w:t xml:space="preserve"> found each week at each of the three sites that we monitored (Glacier, Burdwood and Wicklow</w:t>
      </w:r>
      <w:r w:rsidR="00C60B4C">
        <w:t>, corresponding to locations 4, 5 and 6 in Fig. 3 of the main text).</w:t>
      </w:r>
    </w:p>
    <w:p w14:paraId="57DAEDDF" w14:textId="77777777" w:rsidR="00290224" w:rsidRPr="00890269" w:rsidRDefault="00290224" w:rsidP="00890269">
      <w:pPr>
        <w:spacing w:line="480" w:lineRule="auto"/>
        <w:ind w:firstLine="720"/>
      </w:pPr>
    </w:p>
    <w:p w14:paraId="54337C07" w14:textId="77777777" w:rsidR="00890269" w:rsidRDefault="00890269" w:rsidP="00890269">
      <w:pPr>
        <w:keepNext/>
      </w:pPr>
      <w:r>
        <w:rPr>
          <w:noProof/>
        </w:rPr>
        <w:drawing>
          <wp:inline distT="0" distB="0" distL="0" distR="0" wp14:anchorId="2D07A943" wp14:editId="71F11C49">
            <wp:extent cx="5943600" cy="18630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Lice_by_species.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1863090"/>
                    </a:xfrm>
                    <a:prstGeom prst="rect">
                      <a:avLst/>
                    </a:prstGeom>
                  </pic:spPr>
                </pic:pic>
              </a:graphicData>
            </a:graphic>
          </wp:inline>
        </w:drawing>
      </w:r>
    </w:p>
    <w:p w14:paraId="66257467" w14:textId="09FE49AF" w:rsidR="00890269" w:rsidRDefault="002126A3" w:rsidP="00AB13A2">
      <w:pPr>
        <w:pStyle w:val="Caption"/>
        <w:spacing w:line="240" w:lineRule="auto"/>
      </w:pPr>
      <w:bookmarkStart w:id="11" w:name="_Ref310593859"/>
      <w:bookmarkStart w:id="12" w:name="_Ref317422971"/>
      <w:r>
        <w:t xml:space="preserve">Fig. </w:t>
      </w:r>
      <w:r w:rsidR="00890269">
        <w:t xml:space="preserve">S </w:t>
      </w:r>
      <w:fldSimple w:instr=" SEQ Figure_S \* ARABIC ">
        <w:r w:rsidR="001D280A">
          <w:rPr>
            <w:noProof/>
          </w:rPr>
          <w:t>8</w:t>
        </w:r>
      </w:fldSimple>
      <w:bookmarkEnd w:id="11"/>
      <w:bookmarkEnd w:id="12"/>
      <w:r w:rsidR="00890269">
        <w:t>. The average motile lice per fish (</w:t>
      </w:r>
      <w:r w:rsidR="00890269">
        <w:rPr>
          <w:rFonts w:cs="Times New Roman"/>
        </w:rPr>
        <w:t>±</w:t>
      </w:r>
      <w:r w:rsidR="00890269">
        <w:t xml:space="preserve"> 95% bootstrapped confidence intervals) each week at three sites in the Broughton Archipelago (Glacier, Burdwood and Wicklow) corresponding to locations 4, 5 and 6 in Fig. 3 of the main text.  Blue points are motile </w:t>
      </w:r>
      <w:r w:rsidR="00890269">
        <w:rPr>
          <w:i/>
        </w:rPr>
        <w:t xml:space="preserve">L. salmonis </w:t>
      </w:r>
      <w:r w:rsidR="00890269">
        <w:t xml:space="preserve">and red points are motile </w:t>
      </w:r>
      <w:r w:rsidR="00890269">
        <w:rPr>
          <w:i/>
        </w:rPr>
        <w:t>Caligus clemensi</w:t>
      </w:r>
      <w:r w:rsidR="00890269">
        <w:t>.</w:t>
      </w:r>
    </w:p>
    <w:p w14:paraId="733A607E" w14:textId="77777777" w:rsidR="002913DC" w:rsidRDefault="002913DC" w:rsidP="00890269">
      <w:pPr>
        <w:keepNext/>
        <w:sectPr w:rsidR="002913DC" w:rsidSect="009860D5">
          <w:headerReference w:type="default" r:id="rId17"/>
          <w:footerReference w:type="even" r:id="rId18"/>
          <w:footerReference w:type="default" r:id="rId19"/>
          <w:pgSz w:w="12240" w:h="15840"/>
          <w:pgMar w:top="1440" w:right="1440" w:bottom="1440" w:left="1440" w:header="709" w:footer="709" w:gutter="0"/>
          <w:cols w:space="708"/>
          <w:docGrid w:linePitch="360"/>
        </w:sectPr>
      </w:pPr>
    </w:p>
    <w:p w14:paraId="036471EB" w14:textId="1FD96D14" w:rsidR="00890269" w:rsidRDefault="00890269" w:rsidP="00890269">
      <w:pPr>
        <w:keepNext/>
      </w:pPr>
      <w:r>
        <w:rPr>
          <w:noProof/>
        </w:rPr>
        <w:lastRenderedPageBreak/>
        <w:drawing>
          <wp:inline distT="0" distB="0" distL="0" distR="0" wp14:anchorId="4D5E9028" wp14:editId="467A3A78">
            <wp:extent cx="7200900" cy="5040630"/>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Lice_though_time.pdf"/>
                    <pic:cNvPicPr/>
                  </pic:nvPicPr>
                  <pic:blipFill>
                    <a:blip r:embed="rId20">
                      <a:extLst>
                        <a:ext uri="{28A0092B-C50C-407E-A947-70E740481C1C}">
                          <a14:useLocalDpi xmlns:a14="http://schemas.microsoft.com/office/drawing/2010/main" val="0"/>
                        </a:ext>
                      </a:extLst>
                    </a:blip>
                    <a:stretch>
                      <a:fillRect/>
                    </a:stretch>
                  </pic:blipFill>
                  <pic:spPr>
                    <a:xfrm>
                      <a:off x="0" y="0"/>
                      <a:ext cx="7201167" cy="5040817"/>
                    </a:xfrm>
                    <a:prstGeom prst="rect">
                      <a:avLst/>
                    </a:prstGeom>
                  </pic:spPr>
                </pic:pic>
              </a:graphicData>
            </a:graphic>
          </wp:inline>
        </w:drawing>
      </w:r>
    </w:p>
    <w:p w14:paraId="6377DED7" w14:textId="153DF04B" w:rsidR="002913DC" w:rsidRDefault="002126A3" w:rsidP="009C14B2">
      <w:pPr>
        <w:pStyle w:val="Caption"/>
        <w:spacing w:line="240" w:lineRule="auto"/>
        <w:sectPr w:rsidR="002913DC" w:rsidSect="009C14B2">
          <w:pgSz w:w="15842" w:h="12242" w:orient="landscape"/>
          <w:pgMar w:top="1440" w:right="1440" w:bottom="1440" w:left="1440" w:header="709" w:footer="709" w:gutter="0"/>
          <w:cols w:space="708"/>
          <w:docGrid w:linePitch="360"/>
        </w:sectPr>
      </w:pPr>
      <w:bookmarkStart w:id="13" w:name="_Ref310593901"/>
      <w:bookmarkStart w:id="14" w:name="_Ref317422981"/>
      <w:r>
        <w:t xml:space="preserve">Fig. </w:t>
      </w:r>
      <w:r w:rsidR="00890269">
        <w:t xml:space="preserve">S </w:t>
      </w:r>
      <w:fldSimple w:instr=" SEQ Figure_S \* ARABIC ">
        <w:r w:rsidR="001D280A">
          <w:rPr>
            <w:noProof/>
          </w:rPr>
          <w:t>9</w:t>
        </w:r>
      </w:fldSimple>
      <w:bookmarkEnd w:id="13"/>
      <w:bookmarkEnd w:id="14"/>
      <w:r w:rsidR="00890269">
        <w:t>. The progression of the 2015 sea louse epizootic on juvenile wild salmon, shown as the mean number of copepodite, chalimus</w:t>
      </w:r>
      <w:r w:rsidR="00E720FF">
        <w:t>*</w:t>
      </w:r>
      <w:r w:rsidR="00890269">
        <w:t xml:space="preserve">, preadult and adult </w:t>
      </w:r>
      <w:r w:rsidR="00890269">
        <w:rPr>
          <w:i/>
        </w:rPr>
        <w:t>L. salmonis</w:t>
      </w:r>
      <w:r w:rsidR="00890269">
        <w:t xml:space="preserve"> per wild juvenile salmon (pink and chum) each week in April, May and June 2015</w:t>
      </w:r>
      <w:r w:rsidR="00290224">
        <w:t xml:space="preserve"> for the three sites we monitored (Glacier, Burdwood and Wicklow, corresponding to locations 4, 5 and 6 in Fig. 3 of the main text)</w:t>
      </w:r>
      <w:r w:rsidR="00890269">
        <w:t xml:space="preserve">.  </w:t>
      </w:r>
      <w:r w:rsidR="00E720FF">
        <w:t>*</w:t>
      </w:r>
      <w:r w:rsidR="00890269">
        <w:t xml:space="preserve">Note that identification of species at the chalimus stage is difficult using a hand lens, and so estimates of the number of chalimus include </w:t>
      </w:r>
      <w:r w:rsidR="00890269">
        <w:rPr>
          <w:i/>
        </w:rPr>
        <w:t>L. salmonis</w:t>
      </w:r>
      <w:r w:rsidR="00890269">
        <w:t xml:space="preserve"> and </w:t>
      </w:r>
      <w:r w:rsidR="00890269">
        <w:rPr>
          <w:i/>
        </w:rPr>
        <w:t>C. clemensi</w:t>
      </w:r>
      <w:r w:rsidR="00890269">
        <w:t>. Points are the mean abundance and bars indicate 95% bootstrapped confidence intervals</w:t>
      </w:r>
      <w:r w:rsidR="000E2A41">
        <w:t>.</w:t>
      </w:r>
    </w:p>
    <w:p w14:paraId="287EDAB5" w14:textId="77777777" w:rsidR="00890269" w:rsidRPr="002B785A" w:rsidRDefault="00890269" w:rsidP="009C14B2">
      <w:pPr>
        <w:pStyle w:val="Heading2"/>
      </w:pPr>
      <w:r w:rsidRPr="002B785A">
        <w:lastRenderedPageBreak/>
        <w:t>Predicted mortality</w:t>
      </w:r>
    </w:p>
    <w:p w14:paraId="25990E86" w14:textId="43DFF687" w:rsidR="00890269" w:rsidRDefault="00890269" w:rsidP="00890269">
      <w:pPr>
        <w:spacing w:line="480" w:lineRule="auto"/>
        <w:ind w:firstLine="720"/>
      </w:pPr>
      <w:r>
        <w:t>We</w:t>
      </w:r>
      <w:r w:rsidRPr="00017629">
        <w:t xml:space="preserve"> used estimates </w:t>
      </w:r>
      <w:r>
        <w:t xml:space="preserve">of </w:t>
      </w:r>
      <w:r w:rsidR="002126A3">
        <w:t xml:space="preserve">total abundance </w:t>
      </w:r>
      <w:r>
        <w:t xml:space="preserve">of </w:t>
      </w:r>
      <w:r>
        <w:rPr>
          <w:i/>
        </w:rPr>
        <w:t xml:space="preserve">L. </w:t>
      </w:r>
      <w:r w:rsidRPr="00170048">
        <w:rPr>
          <w:i/>
        </w:rPr>
        <w:t>salmonis</w:t>
      </w:r>
      <w:r>
        <w:t xml:space="preserve"> per wild juvenile salmon </w:t>
      </w:r>
      <w:r w:rsidRPr="00170048">
        <w:t>to</w:t>
      </w:r>
      <w:r w:rsidRPr="00017629">
        <w:t xml:space="preserve"> calculate </w:t>
      </w:r>
      <w:r>
        <w:t xml:space="preserve">predicted </w:t>
      </w:r>
      <w:r w:rsidRPr="00017629">
        <w:t xml:space="preserve">mortality of pink salmon due to sea lice. </w:t>
      </w:r>
      <w:r w:rsidR="00166A58">
        <w:t xml:space="preserve">The total abundance of </w:t>
      </w:r>
      <w:r w:rsidR="00166A58">
        <w:rPr>
          <w:i/>
        </w:rPr>
        <w:t xml:space="preserve">L. </w:t>
      </w:r>
      <w:r w:rsidR="00166A58" w:rsidRPr="00166A58">
        <w:rPr>
          <w:i/>
        </w:rPr>
        <w:t>salmonis</w:t>
      </w:r>
      <w:r w:rsidR="00166A58">
        <w:t xml:space="preserve"> was estimated using the same model presented above in section </w:t>
      </w:r>
      <w:r w:rsidR="00166A58">
        <w:fldChar w:fldCharType="begin"/>
      </w:r>
      <w:r w:rsidR="00166A58">
        <w:instrText xml:space="preserve"> REF _Ref317426447 \h </w:instrText>
      </w:r>
      <w:r w:rsidR="00166A58">
        <w:fldChar w:fldCharType="separate"/>
      </w:r>
      <w:r w:rsidR="00166A58" w:rsidRPr="002B785A">
        <w:t>Annual louse estimates</w:t>
      </w:r>
      <w:r w:rsidR="00166A58">
        <w:fldChar w:fldCharType="end"/>
      </w:r>
      <w:r w:rsidR="00166A58">
        <w:t xml:space="preserve">, but fit to the sum of copepodid, chalimus and motiles as done by Peacock et al. (2013). </w:t>
      </w:r>
      <w:r w:rsidRPr="00166A58">
        <w:t>We</w:t>
      </w:r>
      <w:r w:rsidRPr="00017629">
        <w:t xml:space="preserve"> calculated the percent mortality due to sea lice in year </w:t>
      </w:r>
      <w:r w:rsidRPr="00017629">
        <w:rPr>
          <w:i/>
        </w:rPr>
        <w:t>i</w:t>
      </w:r>
      <w:r w:rsidRPr="00017629">
        <w:t xml:space="preserve"> as </w:t>
      </w:r>
      <w:r w:rsidRPr="00017629">
        <w:rPr>
          <w:i/>
        </w:rPr>
        <w:t>M</w:t>
      </w:r>
      <w:r w:rsidRPr="00017629">
        <w:rPr>
          <w:i/>
          <w:vertAlign w:val="subscript"/>
        </w:rPr>
        <w:t xml:space="preserve">i </w:t>
      </w:r>
      <w:r w:rsidRPr="00017629">
        <w:t>= 1- exp(-</w:t>
      </w:r>
      <w:r w:rsidRPr="00017629">
        <w:rPr>
          <w:i/>
        </w:rPr>
        <w:t>cL</w:t>
      </w:r>
      <w:r w:rsidRPr="00017629">
        <w:rPr>
          <w:i/>
          <w:vertAlign w:val="subscript"/>
        </w:rPr>
        <w:t>i</w:t>
      </w:r>
      <w:r w:rsidRPr="00017629">
        <w:t xml:space="preserve">), where </w:t>
      </w:r>
      <w:r w:rsidRPr="00017629">
        <w:rPr>
          <w:i/>
        </w:rPr>
        <w:t>c</w:t>
      </w:r>
      <w:r w:rsidRPr="00017629">
        <w:t xml:space="preserve"> = 0.190 (95% CI: 0.087, 0.299) is the estimated per louse</w:t>
      </w:r>
      <w:r>
        <w:t xml:space="preserve"> mortality from Peacock et al. </w:t>
      </w:r>
      <w:r>
        <w:fldChar w:fldCharType="begin" w:fldLock="1"/>
      </w:r>
      <w:r w:rsidR="00185B34">
        <w:instrText>ADDIN CSL_CITATION { "citationItems" : [ { "id" : "ITEM-1", "itemData" : { "ISBN" : "1051-0761", "author" : [ { "dropping-particle" : "", "family" : "Peacock", "given" : "Stephanie Jane", "non-dropping-particle" : "", "parse-names" : false, "suffix" : "" }, { "dropping-particle" : "", "family" : "Krkosek", "given" : "Martin", "non-dropping-particle" : "", "parse-names" : false, "suffix" : "" }, { "dropping-particle" : "", "family" : "Proboszcz", "given" : "Stan", "non-dropping-particle" : "", "parse-names" : false, "suffix" : "" }, { "dropping-particle" : "", "family" : "Orr", "given" : "Craig", "non-dropping-particle" : "", "parse-names" : false, "suffix" : "" }, { "dropping-particle" : "", "family" : "Lewis", "given" : "Mark A", "non-dropping-particle" : "", "parse-names" : false, "suffix" : "" } ], "container-title" : "Ecological Applications", "id" : "ITEM-1", "issued" : { "date-parts" : [ [ "2013" ] ] }, "page" : "606-620", "title" : "Cessation of a salmon decline with control of parasites", "type" : "article-journal", "volume" : "23" }, "uris" : [ "http://www.mendeley.com/documents/?uuid=c4521081-9fa5-456a-b35f-299d9cb07144" ] } ], "mendeley" : { "formattedCitation" : "(Peacock et al. 2013)", "plainTextFormattedCitation" : "(Peacock et al. 2013)", "previouslyFormattedCitation" : "(Peacock et al. 2013)" }, "properties" : { "noteIndex" : 0 }, "schema" : "https://github.com/citation-style-language/schema/raw/master/csl-citation.json" }</w:instrText>
      </w:r>
      <w:r>
        <w:fldChar w:fldCharType="separate"/>
      </w:r>
      <w:r w:rsidR="00892A65" w:rsidRPr="00892A65">
        <w:rPr>
          <w:noProof/>
        </w:rPr>
        <w:t>(Peacock et al. 2013)</w:t>
      </w:r>
      <w:r>
        <w:fldChar w:fldCharType="end"/>
      </w:r>
      <w:r w:rsidRPr="00017629">
        <w:t xml:space="preserve"> and </w:t>
      </w:r>
      <w:r w:rsidRPr="00017629">
        <w:rPr>
          <w:i/>
        </w:rPr>
        <w:t>L</w:t>
      </w:r>
      <w:r w:rsidRPr="00017629">
        <w:rPr>
          <w:i/>
          <w:vertAlign w:val="subscript"/>
        </w:rPr>
        <w:t>i</w:t>
      </w:r>
      <w:r w:rsidRPr="00017629">
        <w:t xml:space="preserve"> is the average number of sea lice per out-migrating juvenile salmon in year </w:t>
      </w:r>
      <w:r w:rsidRPr="00017629">
        <w:rPr>
          <w:i/>
        </w:rPr>
        <w:t>i</w:t>
      </w:r>
      <w:r w:rsidRPr="00017629">
        <w:t xml:space="preserve">. To calculate confidence intervals on mortality estimates including uncertainty in the parameter </w:t>
      </w:r>
      <w:r w:rsidRPr="00017629">
        <w:rPr>
          <w:i/>
        </w:rPr>
        <w:t>c</w:t>
      </w:r>
      <w:r w:rsidRPr="00017629">
        <w:t xml:space="preserve"> and in our louse estimates </w:t>
      </w:r>
      <w:r w:rsidRPr="00017629">
        <w:rPr>
          <w:i/>
        </w:rPr>
        <w:t>L</w:t>
      </w:r>
      <w:r w:rsidRPr="00017629">
        <w:rPr>
          <w:i/>
          <w:vertAlign w:val="subscript"/>
        </w:rPr>
        <w:t>i</w:t>
      </w:r>
      <w:r w:rsidRPr="00017629">
        <w:t>, we used a Monte Carlo approach</w:t>
      </w:r>
      <w:r>
        <w:t xml:space="preserve"> as follows:</w:t>
      </w:r>
    </w:p>
    <w:p w14:paraId="7BCEEA11" w14:textId="77777777" w:rsidR="00890269" w:rsidRDefault="00890269" w:rsidP="00890269">
      <w:pPr>
        <w:pStyle w:val="ListParagraph"/>
        <w:numPr>
          <w:ilvl w:val="0"/>
          <w:numId w:val="2"/>
        </w:numPr>
        <w:spacing w:line="480" w:lineRule="auto"/>
      </w:pPr>
      <w:r>
        <w:t>Draw</w:t>
      </w:r>
      <w:r w:rsidRPr="000D6818">
        <w:t xml:space="preserve"> 1000 values of </w:t>
      </w:r>
      <w:r w:rsidRPr="000D6818">
        <w:rPr>
          <w:i/>
        </w:rPr>
        <w:t>L</w:t>
      </w:r>
      <w:r w:rsidRPr="000D6818">
        <w:rPr>
          <w:i/>
          <w:vertAlign w:val="subscript"/>
        </w:rPr>
        <w:t>i</w:t>
      </w:r>
      <w:r w:rsidRPr="000D6818">
        <w:t xml:space="preserve"> from the posterior densities</w:t>
      </w:r>
      <w:r>
        <w:t xml:space="preserve"> for year </w:t>
      </w:r>
      <w:r>
        <w:rPr>
          <w:i/>
        </w:rPr>
        <w:t>i</w:t>
      </w:r>
      <w:r>
        <w:t xml:space="preserve">, yielding </w:t>
      </w:r>
      <w:r w:rsidRPr="000D6818">
        <w:rPr>
          <w:i/>
        </w:rPr>
        <w:t>L</w:t>
      </w:r>
      <w:r w:rsidRPr="000D6818">
        <w:rPr>
          <w:i/>
          <w:vertAlign w:val="subscript"/>
        </w:rPr>
        <w:t>i</w:t>
      </w:r>
      <w:r>
        <w:rPr>
          <w:i/>
          <w:vertAlign w:val="subscript"/>
        </w:rPr>
        <w:t>,j</w:t>
      </w:r>
      <w:r w:rsidRPr="000D6818">
        <w:t>,</w:t>
      </w:r>
      <w:r w:rsidRPr="000D6818">
        <w:rPr>
          <w:i/>
        </w:rPr>
        <w:t xml:space="preserve"> j</w:t>
      </w:r>
      <w:r>
        <w:t xml:space="preserve"> </w:t>
      </w:r>
      <w:r w:rsidRPr="000D6818">
        <w:t>=</w:t>
      </w:r>
      <w:r>
        <w:t xml:space="preserve"> </w:t>
      </w:r>
      <w:r w:rsidRPr="000D6818">
        <w:t>1:1000</w:t>
      </w:r>
      <w:r>
        <w:t>,</w:t>
      </w:r>
    </w:p>
    <w:p w14:paraId="4BF681A4" w14:textId="77777777" w:rsidR="00890269" w:rsidRDefault="00890269" w:rsidP="00890269">
      <w:pPr>
        <w:pStyle w:val="ListParagraph"/>
        <w:numPr>
          <w:ilvl w:val="0"/>
          <w:numId w:val="2"/>
        </w:numPr>
        <w:spacing w:line="480" w:lineRule="auto"/>
      </w:pPr>
      <w:r>
        <w:t xml:space="preserve">Draw </w:t>
      </w:r>
      <w:r w:rsidRPr="000D6818">
        <w:t xml:space="preserve">1000 values of </w:t>
      </w:r>
      <w:r w:rsidRPr="000D6818">
        <w:rPr>
          <w:i/>
        </w:rPr>
        <w:t>c</w:t>
      </w:r>
      <w:r w:rsidRPr="000D6818">
        <w:t xml:space="preserve"> from a normal distribution with mean and standard deviation as estimates by Peacock et al. (2013</w:t>
      </w:r>
      <w:r>
        <w:t xml:space="preserve">), yielding </w:t>
      </w:r>
      <w:r w:rsidRPr="000D6818">
        <w:rPr>
          <w:i/>
        </w:rPr>
        <w:t>c</w:t>
      </w:r>
      <w:r w:rsidRPr="000D6818">
        <w:rPr>
          <w:i/>
          <w:vertAlign w:val="subscript"/>
        </w:rPr>
        <w:t>j</w:t>
      </w:r>
      <w:r>
        <w:t>,</w:t>
      </w:r>
    </w:p>
    <w:p w14:paraId="4AD846F8" w14:textId="77777777" w:rsidR="00890269" w:rsidRDefault="00890269" w:rsidP="00890269">
      <w:pPr>
        <w:pStyle w:val="ListParagraph"/>
        <w:numPr>
          <w:ilvl w:val="0"/>
          <w:numId w:val="2"/>
        </w:numPr>
        <w:spacing w:line="480" w:lineRule="auto"/>
      </w:pPr>
      <w:r>
        <w:t xml:space="preserve">Calculate </w:t>
      </w:r>
      <w:r w:rsidRPr="00017629">
        <w:rPr>
          <w:i/>
        </w:rPr>
        <w:t>M</w:t>
      </w:r>
      <w:r w:rsidRPr="00017629">
        <w:rPr>
          <w:i/>
          <w:vertAlign w:val="subscript"/>
        </w:rPr>
        <w:t>i</w:t>
      </w:r>
      <w:r>
        <w:rPr>
          <w:i/>
          <w:vertAlign w:val="subscript"/>
        </w:rPr>
        <w:t>,j</w:t>
      </w:r>
      <w:r w:rsidRPr="00017629">
        <w:rPr>
          <w:i/>
          <w:vertAlign w:val="subscript"/>
        </w:rPr>
        <w:t xml:space="preserve"> </w:t>
      </w:r>
      <w:r w:rsidRPr="00017629">
        <w:t>= 1- exp(-</w:t>
      </w:r>
      <w:r w:rsidRPr="00017629">
        <w:rPr>
          <w:i/>
        </w:rPr>
        <w:t>c</w:t>
      </w:r>
      <w:r w:rsidRPr="000D6818">
        <w:rPr>
          <w:i/>
          <w:vertAlign w:val="subscript"/>
        </w:rPr>
        <w:t>j</w:t>
      </w:r>
      <w:r>
        <w:rPr>
          <w:i/>
          <w:vertAlign w:val="subscript"/>
        </w:rPr>
        <w:t xml:space="preserve"> </w:t>
      </w:r>
      <w:r w:rsidRPr="00017629">
        <w:rPr>
          <w:i/>
        </w:rPr>
        <w:t>L</w:t>
      </w:r>
      <w:r w:rsidRPr="00017629">
        <w:rPr>
          <w:i/>
          <w:vertAlign w:val="subscript"/>
        </w:rPr>
        <w:t>i</w:t>
      </w:r>
      <w:r>
        <w:rPr>
          <w:i/>
          <w:vertAlign w:val="subscript"/>
        </w:rPr>
        <w:t>,j</w:t>
      </w:r>
      <w:r w:rsidRPr="00017629">
        <w:t>)</w:t>
      </w:r>
      <w:r>
        <w:t>,</w:t>
      </w:r>
    </w:p>
    <w:p w14:paraId="7AF2E2D8" w14:textId="6FCE228F" w:rsidR="009F0E1C" w:rsidRDefault="00890269" w:rsidP="009F0E1C">
      <w:pPr>
        <w:pStyle w:val="ListParagraph"/>
        <w:numPr>
          <w:ilvl w:val="0"/>
          <w:numId w:val="2"/>
        </w:numPr>
        <w:spacing w:line="480" w:lineRule="auto"/>
      </w:pPr>
      <w:r>
        <w:t>Compute the 2.5% and 97.5% quantiles of</w:t>
      </w:r>
      <w:r w:rsidRPr="000D6818">
        <w:t xml:space="preserve"> </w:t>
      </w:r>
      <w:r w:rsidRPr="000D6818">
        <w:rPr>
          <w:i/>
        </w:rPr>
        <w:t>M</w:t>
      </w:r>
      <w:r w:rsidRPr="000D6818">
        <w:rPr>
          <w:i/>
          <w:vertAlign w:val="subscript"/>
        </w:rPr>
        <w:t>i</w:t>
      </w:r>
      <w:r>
        <w:rPr>
          <w:i/>
          <w:vertAlign w:val="subscript"/>
        </w:rPr>
        <w:t>,j</w:t>
      </w:r>
      <w:r>
        <w:t>, yielding lower and upper confidence bounds on</w:t>
      </w:r>
      <w:r w:rsidRPr="000D6818">
        <w:rPr>
          <w:i/>
        </w:rPr>
        <w:t xml:space="preserve"> M</w:t>
      </w:r>
      <w:r w:rsidRPr="000D6818">
        <w:rPr>
          <w:i/>
          <w:vertAlign w:val="subscript"/>
        </w:rPr>
        <w:t>i</w:t>
      </w:r>
      <w:r>
        <w:t>, respectively.</w:t>
      </w:r>
    </w:p>
    <w:p w14:paraId="2B328851" w14:textId="77777777" w:rsidR="00222554" w:rsidRDefault="009F0E1C" w:rsidP="0081060B">
      <w:pPr>
        <w:keepNext/>
        <w:keepLines/>
        <w:ind w:left="357"/>
      </w:pPr>
      <w:r>
        <w:rPr>
          <w:noProof/>
        </w:rPr>
        <w:lastRenderedPageBreak/>
        <w:drawing>
          <wp:inline distT="0" distB="0" distL="0" distR="0" wp14:anchorId="0078D3B6" wp14:editId="7B90C182">
            <wp:extent cx="56642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df"/>
                    <pic:cNvPicPr/>
                  </pic:nvPicPr>
                  <pic:blipFill>
                    <a:blip r:embed="rId21">
                      <a:extLst>
                        <a:ext uri="{28A0092B-C50C-407E-A947-70E740481C1C}">
                          <a14:useLocalDpi xmlns:a14="http://schemas.microsoft.com/office/drawing/2010/main" val="0"/>
                        </a:ext>
                      </a:extLst>
                    </a:blip>
                    <a:stretch>
                      <a:fillRect/>
                    </a:stretch>
                  </pic:blipFill>
                  <pic:spPr>
                    <a:xfrm>
                      <a:off x="0" y="0"/>
                      <a:ext cx="5664200" cy="2743200"/>
                    </a:xfrm>
                    <a:prstGeom prst="rect">
                      <a:avLst/>
                    </a:prstGeom>
                  </pic:spPr>
                </pic:pic>
              </a:graphicData>
            </a:graphic>
          </wp:inline>
        </w:drawing>
      </w:r>
    </w:p>
    <w:p w14:paraId="455AE3EA" w14:textId="54FC3DA6" w:rsidR="009F0E1C" w:rsidRPr="009750F1" w:rsidRDefault="00222554" w:rsidP="0081060B">
      <w:pPr>
        <w:pStyle w:val="Caption"/>
        <w:keepNext/>
        <w:keepLines/>
        <w:spacing w:line="240" w:lineRule="auto"/>
      </w:pPr>
      <w:r>
        <w:t>Fig</w:t>
      </w:r>
      <w:r w:rsidR="002126A3">
        <w:t>.</w:t>
      </w:r>
      <w:r>
        <w:t xml:space="preserve"> S </w:t>
      </w:r>
      <w:fldSimple w:instr=" SEQ Figure_S \* ARABIC ">
        <w:r w:rsidR="001D280A">
          <w:rPr>
            <w:noProof/>
          </w:rPr>
          <w:t>10</w:t>
        </w:r>
      </w:fldSimple>
      <w:bookmarkStart w:id="15" w:name="_Toc436908880"/>
      <w:r w:rsidR="009F0E1C">
        <w:t xml:space="preserve">. (a) The estimated change in survival (log[recruits/spawners]) over the </w:t>
      </w:r>
      <w:r w:rsidR="003401C8">
        <w:t>total</w:t>
      </w:r>
      <w:r w:rsidR="009F0E1C">
        <w:t xml:space="preserve"> </w:t>
      </w:r>
      <w:r w:rsidR="009F0E1C">
        <w:rPr>
          <w:i/>
        </w:rPr>
        <w:t>L. salmonis</w:t>
      </w:r>
      <w:r w:rsidR="009F0E1C">
        <w:t xml:space="preserve"> per wild juvenile pink salmon from Peacock et al. (2013).  Horizontal line shows no change.  Solid and dashed </w:t>
      </w:r>
      <w:r w:rsidR="00692243">
        <w:t xml:space="preserve">grey </w:t>
      </w:r>
      <w:r w:rsidR="009F0E1C">
        <w:t xml:space="preserve">diagonal lines show the model-estimated effect and 95% confidence interval, and points are the partial residuals from pink salmon populations in the Broughton Archipelago, BC, for juvenile salmon migration years 2000-2009. The </w:t>
      </w:r>
      <w:r w:rsidR="00692243">
        <w:t xml:space="preserve">red line shows </w:t>
      </w:r>
      <w:r w:rsidR="009F0E1C">
        <w:t xml:space="preserve">the estimated change in survival based on the 2015 infestation level. (b) The estimated percent mortality due to sea lice in pink salmon populations, calculated as1 – </w:t>
      </w:r>
      <w:r w:rsidR="009F0E1C" w:rsidRPr="009750F1">
        <w:rPr>
          <w:i/>
        </w:rPr>
        <w:t>e</w:t>
      </w:r>
      <w:r w:rsidR="009F0E1C">
        <w:rPr>
          <w:i/>
        </w:rPr>
        <w:t xml:space="preserve"> </w:t>
      </w:r>
      <w:r w:rsidR="009F0E1C">
        <w:rPr>
          <w:vertAlign w:val="superscript"/>
        </w:rPr>
        <w:t>–</w:t>
      </w:r>
      <w:r w:rsidR="009F0E1C" w:rsidRPr="009750F1">
        <w:rPr>
          <w:i/>
          <w:vertAlign w:val="superscript"/>
        </w:rPr>
        <w:t>cL</w:t>
      </w:r>
      <w:r w:rsidR="009F0E1C">
        <w:t xml:space="preserve"> (Krkosek et al. 2011), ranged from 84% for juveniles migrating in 2001 to less than 4% for juveniles migrating in 2009. Mortality due to sea lice in 2015 is predicted to be 2</w:t>
      </w:r>
      <w:r w:rsidR="00692243">
        <w:t>2</w:t>
      </w:r>
      <w:r w:rsidR="009F0E1C">
        <w:t xml:space="preserve">% (95% CI: </w:t>
      </w:r>
      <w:r w:rsidR="00692243">
        <w:t>9-38</w:t>
      </w:r>
      <w:r w:rsidR="009F0E1C">
        <w:t xml:space="preserve">%). Note the low predicted mortality for salmon that migrated to sea in 2003 when eleven salmon farms in the Broughton Archipelago were fallow </w:t>
      </w:r>
      <w:r w:rsidR="009F0E1C">
        <w:fldChar w:fldCharType="begin" w:fldLock="1"/>
      </w:r>
      <w:r w:rsidR="009F0E1C">
        <w:instrText>ADDIN CSL_CITATION { "citationItems" : [ { "id" : "ITEM-1", "itemData" : { "ISBN" : "0275-5947", "ISSN" : "0275-5947", "abstract" : "We report on a 3-year study of the infestation rates of the sea louse, Lepeophtheirus salmonis, on wild juvenile pink salmon Oncorhynchus gorbuscha and chum salmon O. keta in the Broughton Archipelago, British Columbia. In 2002, the British Columbia Ministry of Agriculture, Fisheries, and Food ordered farm fallowing (i.e., the removal of farmed Atlantic salmon Salmo salar from net-cages) along the presumed migration route of wild juvenile Pacific salmon in this area. The goal was to protect wild juvenile fish from sea louse infestation. We assessed the effectiveness of this decision by comparing sea louse infestation rates on wild juvenile salmon near three Atlantic salmon farm sites prior to, during, and after fallowing. Overall, L. salmonis levels were significantly reduced (P ? 0.0001) at the study sites during fallowing but returned to the original level after fallowing. The decline was age specific. While the abundance of the earliest attached sea louse phase (the copepodid stage) declined by a factor of 42, the mean abundance of adult L. salmonis did not decline significantly. Changes in salinity and temperature could not account for the decline. This study provides evidence that the fallowing of Atlantic salmon farms during spring juvenile salmon migrations can be an effective conservation and management tool for protecting wild salmon. While this correlation adds to the increasing weight of evidence linking Atlantic salmon farms to increased parasite loads on wild salmon, greater cooperation between researchers and farmers will be necessary to isolate the causal mechanisms and provide safe seaward passage to wild juvenile salmon.", "author" : [ { "dropping-particle" : "", "family" : "Morton", "given" : "Alexandra", "non-dropping-particle" : "", "parse-names" : false, "suffix" : "" }, { "dropping-particle" : "", "family" : "Routledge", "given" : "Richard D.", "non-dropping-particle" : "", "parse-names" : false, "suffix" : "" }, { "dropping-particle" : "", "family" : "Williams", "given" : "Rob", "non-dropping-particle" : "", "parse-names" : false, "suffix" : "" } ], "container-title" : "North American Journal of Fisheries Management", "id" : "ITEM-1", "issue" : "25", "issued" : { "date-parts" : [ [ "2005", "8" ] ] }, "page" : "811-821", "title" : "Temporal Patterns of Sea Louse Infestation on Wild Pacific Salmon in Relation to the Fallowing of Atlantic Salmon Farms", "type" : "article-journal", "volume" : "5947" }, "uris" : [ "http://www.mendeley.com/documents/?uuid=a8a7810a-0b45-4594-a25a-79625b06367c" ] } ], "mendeley" : { "formattedCitation" : "(Morton et al. 2005)", "plainTextFormattedCitation" : "(Morton et al. 2005)", "previouslyFormattedCitation" : "(Morton et al. 2005)" }, "properties" : { "noteIndex" : 0 }, "schema" : "https://github.com/citation-style-language/schema/raw/master/csl-citation.json" }</w:instrText>
      </w:r>
      <w:r w:rsidR="009F0E1C">
        <w:fldChar w:fldCharType="separate"/>
      </w:r>
      <w:r w:rsidR="009F0E1C" w:rsidRPr="00CE2FE9">
        <w:rPr>
          <w:noProof/>
        </w:rPr>
        <w:t>(Morton et al. 2005)</w:t>
      </w:r>
      <w:r w:rsidR="009F0E1C">
        <w:fldChar w:fldCharType="end"/>
      </w:r>
      <w:r w:rsidR="009F0E1C">
        <w:t>.</w:t>
      </w:r>
      <w:bookmarkEnd w:id="15"/>
    </w:p>
    <w:p w14:paraId="4AE64F30" w14:textId="77777777" w:rsidR="009F0E1C" w:rsidRDefault="009F0E1C" w:rsidP="009F0E1C">
      <w:pPr>
        <w:pStyle w:val="ListParagraph"/>
        <w:keepNext/>
        <w:keepLines/>
        <w:numPr>
          <w:ilvl w:val="0"/>
          <w:numId w:val="2"/>
        </w:numPr>
        <w:sectPr w:rsidR="009F0E1C" w:rsidSect="002913DC">
          <w:pgSz w:w="12240" w:h="15840"/>
          <w:pgMar w:top="1440" w:right="1440" w:bottom="1440" w:left="1440" w:header="709" w:footer="709" w:gutter="0"/>
          <w:cols w:space="708"/>
          <w:docGrid w:linePitch="360"/>
        </w:sectPr>
      </w:pPr>
    </w:p>
    <w:p w14:paraId="5210BE8F" w14:textId="77777777" w:rsidR="009F0E1C" w:rsidRDefault="009F0E1C" w:rsidP="0081780E">
      <w:pPr>
        <w:keepNext/>
        <w:keepLines/>
        <w:spacing w:line="480" w:lineRule="auto"/>
        <w:jc w:val="center"/>
      </w:pPr>
    </w:p>
    <w:p w14:paraId="24CE3997" w14:textId="77777777" w:rsidR="0081780E" w:rsidRDefault="0081780E" w:rsidP="0081780E">
      <w:pPr>
        <w:keepNext/>
        <w:keepLines/>
        <w:spacing w:line="480" w:lineRule="auto"/>
        <w:jc w:val="center"/>
      </w:pPr>
      <w:r>
        <w:rPr>
          <w:noProof/>
        </w:rPr>
        <w:drawing>
          <wp:inline distT="0" distB="0" distL="0" distR="0" wp14:anchorId="77EDB750" wp14:editId="759E5EF0">
            <wp:extent cx="36576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pdf"/>
                    <pic:cNvPicPr/>
                  </pic:nvPicPr>
                  <pic:blipFill>
                    <a:blip r:embed="rId2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14:paraId="33F14FA7" w14:textId="6C1969DB" w:rsidR="0081780E" w:rsidRDefault="002126A3" w:rsidP="002126A3">
      <w:pPr>
        <w:pStyle w:val="Caption"/>
        <w:keepNext/>
        <w:keepLines/>
        <w:spacing w:line="240" w:lineRule="auto"/>
      </w:pPr>
      <w:r>
        <w:t xml:space="preserve">Fig. </w:t>
      </w:r>
      <w:r w:rsidR="0081780E">
        <w:t xml:space="preserve">S </w:t>
      </w:r>
      <w:fldSimple w:instr=" SEQ Figure_S \* ARABIC ">
        <w:r w:rsidR="001D280A">
          <w:rPr>
            <w:noProof/>
          </w:rPr>
          <w:t>11</w:t>
        </w:r>
      </w:fldSimple>
      <w:r w:rsidR="0081780E">
        <w:t>.</w:t>
      </w:r>
      <w:r w:rsidR="0081780E" w:rsidRPr="0081780E">
        <w:t xml:space="preserve"> </w:t>
      </w:r>
      <w:r w:rsidR="0081780E">
        <w:t>Average forklength (mm) of juvenile pink and chum salmon sampled during the outmigration from 2001 to 2015.  Salmon were, on average, larger in 2015 at the same point in their migration, suggesting they may have emerged from the rivers earlier compared to previous years.</w:t>
      </w:r>
      <w:r w:rsidR="00972998">
        <w:t xml:space="preserve"> Alternatively, juvenile salmon may have experienced higher growth rates during early marine life in 2015 than in previous years.</w:t>
      </w:r>
    </w:p>
    <w:p w14:paraId="19BA7BF0" w14:textId="77777777" w:rsidR="0081780E" w:rsidRPr="0081780E" w:rsidRDefault="0081780E" w:rsidP="0081780E"/>
    <w:p w14:paraId="0028BC5A" w14:textId="6C8D3D44" w:rsidR="001740D4" w:rsidRDefault="0011790C" w:rsidP="001740D4">
      <w:pPr>
        <w:pStyle w:val="Heading2"/>
      </w:pPr>
      <w:r>
        <w:t>Emamectin benzoate (EMB)</w:t>
      </w:r>
      <w:r w:rsidR="001740D4">
        <w:t xml:space="preserve"> bioassays</w:t>
      </w:r>
      <w:bookmarkStart w:id="16" w:name="_Ref301083015"/>
    </w:p>
    <w:p w14:paraId="71D060B2" w14:textId="77777777" w:rsidR="00AD2C3C" w:rsidRDefault="00AD2C3C" w:rsidP="00AD2C3C">
      <w:pPr>
        <w:spacing w:line="480" w:lineRule="auto"/>
        <w:ind w:firstLine="576"/>
      </w:pPr>
      <w:r>
        <w:t>We carefully removed pre-adult sea lice from juvenile pink and chum salmon, transported the lice to Salmon Coast Field Station (Fig. 3) in seawater-filled plastic containers, and held them on ice for up to 12 hours</w:t>
      </w:r>
      <w:r w:rsidRPr="0028261B">
        <w:t xml:space="preserve"> </w:t>
      </w:r>
      <w:r>
        <w:t>until we began bioassays.  In petri dishes, w</w:t>
      </w:r>
      <w:r w:rsidRPr="00967B90">
        <w:t>e</w:t>
      </w:r>
      <w:r>
        <w:t xml:space="preserve"> exposed male and female pre-adult stage-II </w:t>
      </w:r>
      <w:r>
        <w:rPr>
          <w:i/>
        </w:rPr>
        <w:t xml:space="preserve">L. salmonis </w:t>
      </w:r>
      <w:r>
        <w:t>to EMB-seawater solutions at concentrations of 0 parts per billion (ppb), 15 ppb, 30 ppb, 60 ppb, 90 ppb, and 180 ppb</w:t>
      </w:r>
      <w:r w:rsidRPr="00A3108E">
        <w:t xml:space="preserve"> </w:t>
      </w:r>
      <w:r>
        <w:t>for 24 hours. Temperature</w:t>
      </w:r>
      <w:r w:rsidRPr="006916FC">
        <w:t xml:space="preserve"> during </w:t>
      </w:r>
      <w:r>
        <w:t>exposures, conducted on ice,</w:t>
      </w:r>
      <w:r w:rsidRPr="006916FC">
        <w:t xml:space="preserve"> varied </w:t>
      </w:r>
      <w:r>
        <w:t xml:space="preserve">by </w:t>
      </w:r>
      <w:r w:rsidRPr="006916FC">
        <w:t>up to 10</w:t>
      </w:r>
      <w:r>
        <w:rPr>
          <w:rFonts w:cs="Times New Roman"/>
        </w:rPr>
        <w:t>°</w:t>
      </w:r>
      <w:r>
        <w:t>C with a mean temperature change from the start of experiments of -3.5</w:t>
      </w:r>
      <w:r>
        <w:rPr>
          <w:rFonts w:cs="Times New Roman"/>
        </w:rPr>
        <w:t>°</w:t>
      </w:r>
      <w:r>
        <w:t xml:space="preserve">C.  After exposures, we examined the lice under a dissecting microscope and classified them as alive, if they displayed normal swimming behaviour and could adhere to the petri dish, or moribund/dead, otherwise </w:t>
      </w:r>
      <w:r>
        <w:fldChar w:fldCharType="begin" w:fldLock="1"/>
      </w:r>
      <w:r>
        <w:instrText>ADDIN CSL_CITATION { "citationItems" : [ { "id" : "ITEM-1", "itemData" : { "ISBN" : "0177-5103", "ISSN" : "01775103", "PMID" : "18500028", "abstract" : "A bioassay for sea lice Lepeophtheirus salmonis sensitivity towards emamectin benzoate (EMB) was validated for field use. A probit regression model with natural responsiveness was used for the number of affected (moribund or dead) sea lice in bioassays involving different concentrations of EMB. Bioassay optimization included an evaluation of the inter-rater reliability of sea lice responsiveness to EMB and an evaluation of gender-related differences in susceptibility. Adoption of a set of bioassay response criteria improved the concordance (evaluated using the concordance correlation coefficient) between raters' assessments and the model estimation of EC50 values (the 'effective concentration' leading to a response of 50% of the lice not prone to natural response). An evaluation of gender-related differences in EMB susceptibility indicated that preadult stage female sea lice exhibited a significantly larger sensitivity towards EMB in 12 of 19 bioassays compared to preadult males. In order to evaluate sea lice sensitivity to EMB in eastern Canada, the intensive salmon farming area in the Bay of Fundy in southwestern New Brunswick was divided into 4 distinct regions based on industry health management practices and hydrographics. A total of 38 bioassays were completed from 2002 to 2005 using populations of preadult stage sea lice collected from Atlantic salmon Salmo salar farms within the 4 described regions. There was no significant overall effect of region or year on EC50 values; however, analysis of variance indicated a significant effect of time of year on EC50 values in 2002 and a potential effect in 2004 to 2005. Although the range of EC50 values obtained in this 3 yr study did not appear sufficient to affect current clinical success in the control of sea lice, the results suggest a seasonal- or temperature-associated variation in sensitivity to EMB. This will need to be considered if changes in EMB efficacy occur in the future.", "author" : [ { "dropping-particle" : "", "family" : "Westcott", "given" : "Julian D.", "non-dropping-particle" : "", "parse-names" : false, "suffix" : "" }, { "dropping-particle" : "", "family" : "Stryhn", "given" : "Henrik", "non-dropping-particle" : "", "parse-names" : false, "suffix" : "" }, { "dropping-particle" : "", "family" : "Burka", "given" : "John F.", "non-dropping-particle" : "", "parse-names" : false, "suffix" : "" }, { "dropping-particle" : "", "family" : "Hammell", "given" : "K. Larry", "non-dropping-particle" : "", "parse-names" : false, "suffix" : "" } ], "container-title" : "Diseases of Aquatic Organisms", "id" : "ITEM-1", "issue" : "2", "issued" : { "date-parts" : [ [ "2008" ] ] }, "page" : "119-131", "title" : "Optimization and field use of a bioassay to monitor sea lice Lepeophtheirus salmonis sensitivity to emamectin benzoate", "type" : "article-journal", "volume" : "79" }, "label" : "paragraph", "suppress-author" : 1, "uris" : [ "http://www.mendeley.com/documents/?uuid=09eb8a05-4940-4d5d-83ef-a9d674e6ae7d", "http://www.mendeley.com/documents/?uuid=b079e3bf-bdb3-4f0b-b8aa-bc1f99fd5649" ] } ], "mendeley" : { "formattedCitation" : "(2008)", "manualFormatting" : "(Westcott et al. 2008)", "plainTextFormattedCitation" : "(2008)", "previouslyFormattedCitation" : "(2008)" }, "properties" : { "noteIndex" : 0 }, "schema" : "https://github.com/citation-style-language/schema/raw/master/csl-citation.json" }</w:instrText>
      </w:r>
      <w:r>
        <w:fldChar w:fldCharType="separate"/>
      </w:r>
      <w:r w:rsidRPr="00926827">
        <w:rPr>
          <w:noProof/>
        </w:rPr>
        <w:t>(</w:t>
      </w:r>
      <w:r>
        <w:rPr>
          <w:noProof/>
        </w:rPr>
        <w:t xml:space="preserve">Westcott et al. </w:t>
      </w:r>
      <w:r w:rsidRPr="00926827">
        <w:rPr>
          <w:noProof/>
        </w:rPr>
        <w:t>2008)</w:t>
      </w:r>
      <w:r>
        <w:fldChar w:fldCharType="end"/>
      </w:r>
      <w:r>
        <w:t xml:space="preserve">. </w:t>
      </w:r>
    </w:p>
    <w:p w14:paraId="5F47FCD6" w14:textId="26C402B2" w:rsidR="001740D4" w:rsidRDefault="00892A65" w:rsidP="00892A65">
      <w:pPr>
        <w:spacing w:after="240" w:line="480" w:lineRule="auto"/>
        <w:ind w:firstLine="720"/>
      </w:pPr>
      <w:r>
        <w:lastRenderedPageBreak/>
        <w:t xml:space="preserve">We analysed the proportion of sea lice that survived exposure to EMB using binomial generalized linear mixed-effects models.  Each model had a continuous fixed effect for EMB concentration and a random effect for trial date that accounted for the non-independence of sea lice collected at the same site on the same day. We fit a total of 15 models that included combinations of additional fixed effects: sex (of the louse), year, sex:year interaction, year:concentration interaction and sex:concentration interaction (Table S1). We compared models using Akaike’s Information Criterion </w:t>
      </w:r>
      <w:r>
        <w:fldChar w:fldCharType="begin" w:fldLock="1"/>
      </w:r>
      <w:r>
        <w:instrText>ADDIN CSL_CITATION { "citationItems" : [ { "id" : "ITEM-1", "itemData" : { "author" : [ { "dropping-particle" : "", "family" : "Akaike", "given" : "H", "non-dropping-particle" : "", "parse-names" : false, "suffix" : "" } ], "container-title" : "Second International Symposium on Information Theory", "editor" : [ { "dropping-particle" : "", "family" : "Petrov", "given" : "B. N.", "non-dropping-particle" : "", "parse-names" : false, "suffix" : "" }, { "dropping-particle" : "", "family" : "Csaki", "given" : "F.", "non-dropping-particle" : "", "parse-names" : false, "suffix" : "" } ], "id" : "ITEM-1", "issued" : { "date-parts" : [ [ "1973" ] ] }, "page" : "268\u2013281", "publisher" : "Akad\u00e9miai Kiad\u00f3, Budapest", "title" : "Information theory and an extension of the maximum likelihood principle", "type" : "paper-conference" }, "uris" : [ "http://www.mendeley.com/documents/?uuid=043588f9-049e-468d-b620-882eb0eb5288", "http://www.mendeley.com/documents/?uuid=1ddf8ef1-7536-4c08-b768-fff9cf54e975" ] }, { "id" : "ITEM-2", "itemData" : { "author" : [ { "dropping-particle" : "", "family" : "Burnham", "given" : "K P", "non-dropping-particle" : "", "parse-names" : false, "suffix" : "" }, { "dropping-particle" : "", "family" : "Anderson", "given" : "D R", "non-dropping-particle" : "", "parse-names" : false, "suffix" : "" } ], "id" : "ITEM-2", "issued" : { "date-parts" : [ [ "2002" ] ] }, "publisher" : "Springer Verlag", "publisher-place" : "New York", "title" : "Model selection and multimodel inference: a practical information-theoretic approach", "type" : "book" }, "uris" : [ "http://www.mendeley.com/documents/?uuid=904f06db-79e3-4f0a-9e05-d7ec074d1f77", "http://www.mendeley.com/documents/?uuid=46bc0ef0-7ea9-43fc-940a-f24609535001" ] } ], "mendeley" : { "formattedCitation" : "(Akaike 1973, Burnham and Anderson 2002)", "manualFormatting" : "(AIC; Akaike 1973, Burnham and Anderson 2002)", "plainTextFormattedCitation" : "(Akaike 1973, Burnham and Anderson 2002)", "previouslyFormattedCitation" : "(Akaike 1973, Burnham and Anderson 2002)" }, "properties" : { "noteIndex" : 0 }, "schema" : "https://github.com/citation-style-language/schema/raw/master/csl-citation.json" }</w:instrText>
      </w:r>
      <w:r>
        <w:fldChar w:fldCharType="separate"/>
      </w:r>
      <w:r w:rsidRPr="00C81B21">
        <w:rPr>
          <w:noProof/>
        </w:rPr>
        <w:t>(</w:t>
      </w:r>
      <w:r>
        <w:rPr>
          <w:noProof/>
        </w:rPr>
        <w:t xml:space="preserve">AIC; </w:t>
      </w:r>
      <w:r w:rsidRPr="00C81B21">
        <w:rPr>
          <w:noProof/>
        </w:rPr>
        <w:t>Akaike 1973, Burnham and Anderson 2002)</w:t>
      </w:r>
      <w:r>
        <w:fldChar w:fldCharType="end"/>
      </w:r>
      <w:r>
        <w:t xml:space="preserve">.  Because there was no clear top model, we used model averaging to calculate predicted survival from the top models accounting for 95% of cumulative Akaike weight </w:t>
      </w:r>
      <w:r>
        <w:fldChar w:fldCharType="begin" w:fldLock="1"/>
      </w:r>
      <w:r>
        <w:instrText>ADDIN CSL_CITATION { "citationItems" : [ { "id" : "ITEM-1", "itemData" : { "author" : [ { "dropping-particle" : "", "family" : "Burnham", "given" : "K P", "non-dropping-particle" : "", "parse-names" : false, "suffix" : "" }, { "dropping-particle" : "", "family" : "Anderson", "given" : "D R", "non-dropping-particle" : "", "parse-names" : false, "suffix" : "" } ], "id" : "ITEM-1", "issued" : { "date-parts" : [ [ "2002" ] ] }, "publisher" : "Springer Verlag", "publisher-place" : "New York", "title" : "Model selection and multimodel inference: a practical information-theoretic approach", "type" : "book" }, "uris" : [ "http://www.mendeley.com/documents/?uuid=46bc0ef0-7ea9-43fc-940a-f24609535001", "http://www.mendeley.com/documents/?uuid=904f06db-79e3-4f0a-9e05-d7ec074d1f77" ] } ], "mendeley" : { "formattedCitation" : "(Burnham and Anderson 2002)", "manualFormatting" : "(Burnham and Anderson 2002; Table S2, bold)", "plainTextFormattedCitation" : "(Burnham and Anderson 2002)", "previouslyFormattedCitation" : "(Burnham and Anderson 2002)" }, "properties" : { "noteIndex" : 0 }, "schema" : "https://github.com/citation-style-language/schema/raw/master/csl-citation.json" }</w:instrText>
      </w:r>
      <w:r>
        <w:fldChar w:fldCharType="separate"/>
      </w:r>
      <w:r w:rsidRPr="00067FA6">
        <w:rPr>
          <w:noProof/>
        </w:rPr>
        <w:t>(Burnham and Anderson 2002</w:t>
      </w:r>
      <w:r>
        <w:rPr>
          <w:noProof/>
        </w:rPr>
        <w:t xml:space="preserve">; </w:t>
      </w:r>
      <w:r w:rsidRPr="002476FF">
        <w:rPr>
          <w:noProof/>
        </w:rPr>
        <w:t>Table S2, bold</w:t>
      </w:r>
      <w:r w:rsidRPr="00067FA6">
        <w:rPr>
          <w:noProof/>
        </w:rPr>
        <w:t>)</w:t>
      </w:r>
      <w:r>
        <w:fldChar w:fldCharType="end"/>
      </w:r>
      <w:r w:rsidRPr="002476FF">
        <w:t xml:space="preserve"> to estimate the effective concentration at which 50% mortality of </w:t>
      </w:r>
      <w:r w:rsidRPr="002476FF">
        <w:rPr>
          <w:i/>
        </w:rPr>
        <w:t>L. salmonis</w:t>
      </w:r>
      <w:r>
        <w:t xml:space="preserve"> is expected.  We performed analyses in R </w:t>
      </w:r>
      <w:r>
        <w:fldChar w:fldCharType="begin" w:fldLock="1"/>
      </w:r>
      <w:r>
        <w:instrText>ADDIN CSL_CITATION { "citationItems" : [ { "id" : "ITEM-1", "itemData" : { "author" : [ { "dropping-particle" : "", "family" : "R Development Core Team", "given" : "", "non-dropping-particle" : "", "parse-names" : false, "suffix" : "" } ], "id" : "ITEM-1", "issued" : { "date-parts" : [ [ "2015" ] ] }, "number" : "3.1.2", "publisher" : "R Foundation for Statistical Computing", "publisher-place" : "Vienna, Austria, Austria. http://www.r-project.org/", "title" : "R: a language and environment for statistical computing", "type" : "article" }, "uris" : [ "http://www.mendeley.com/documents/?uuid=42e7d99d-735d-4397-b365-fb54827d29ce" ] } ], "mendeley" : { "formattedCitation" : "(R Development Core Team 2015)", "plainTextFormattedCitation" : "(R Development Core Team 2015)", "previouslyFormattedCitation" : "(R Development Core Team 2015)" }, "properties" : { "noteIndex" : 0 }, "schema" : "https://github.com/citation-style-language/schema/raw/master/csl-citation.json" }</w:instrText>
      </w:r>
      <w:r>
        <w:fldChar w:fldCharType="separate"/>
      </w:r>
      <w:r w:rsidRPr="00472706">
        <w:rPr>
          <w:noProof/>
        </w:rPr>
        <w:t>(R Development Core Team 2015)</w:t>
      </w:r>
      <w:r>
        <w:fldChar w:fldCharType="end"/>
      </w:r>
      <w:r>
        <w:t xml:space="preserve"> using the packages </w:t>
      </w:r>
      <w:r w:rsidRPr="00A1096A">
        <w:rPr>
          <w:i/>
        </w:rPr>
        <w:t>lme4</w:t>
      </w:r>
      <w:r>
        <w:t xml:space="preserve"> </w:t>
      </w:r>
      <w:r>
        <w:fldChar w:fldCharType="begin" w:fldLock="1"/>
      </w:r>
      <w:r>
        <w:instrText>ADDIN CSL_CITATION { "citationItems" : [ { "id" : "ITEM-1", "itemData" : { "ISBN" : "9780874216561", "ISSN" : "13514180", "PMID" : "15991970", "author" : [ { "dropping-particle" : "", "family" : "Bates", "given" : "Douglas", "non-dropping-particle" : "", "parse-names" : false, "suffix" : "" }, { "dropping-particle" : "", "family" : "Maechler", "given" : "Martin", "non-dropping-particle" : "", "parse-names" : false, "suffix" : "" }, { "dropping-particle" : "", "family" : "Bolkner", "given" : "B.", "non-dropping-particle" : "", "parse-names" : false, "suffix" : "" }, { "dropping-particle" : "", "family" : "Walker", "given" : "S", "non-dropping-particle" : "", "parse-names" : false, "suffix" : "" } ], "id" : "ITEM-1", "issued" : { "date-parts" : [ [ "2014" ] ] }, "number" : "1.1-7", "title" : "lme4: Linear mixed-effects models using 'Eigen' and S4", "type" : "article" }, "uris" : [ "http://www.mendeley.com/documents/?uuid=af38ed31-cd0e-42fe-b458-f0d6e9c27cc5", "http://www.mendeley.com/documents/?uuid=27f1f0f2-3804-4dea-8b8c-9599bb172cd6" ] } ], "mendeley" : { "formattedCitation" : "(Bates et al. 2014)", "plainTextFormattedCitation" : "(Bates et al. 2014)", "previouslyFormattedCitation" : "(Bates et al. 2014)" }, "properties" : { "noteIndex" : 0 }, "schema" : "https://github.com/citation-style-language/schema/raw/master/csl-citation.json" }</w:instrText>
      </w:r>
      <w:r>
        <w:fldChar w:fldCharType="separate"/>
      </w:r>
      <w:r w:rsidRPr="00067FA6">
        <w:rPr>
          <w:noProof/>
        </w:rPr>
        <w:t>(Bates et al. 2014)</w:t>
      </w:r>
      <w:r>
        <w:fldChar w:fldCharType="end"/>
      </w:r>
      <w:r>
        <w:t xml:space="preserve"> and </w:t>
      </w:r>
      <w:r w:rsidRPr="00A1096A">
        <w:rPr>
          <w:i/>
        </w:rPr>
        <w:t>AICcmodavg</w:t>
      </w:r>
      <w:r>
        <w:t xml:space="preserve"> </w:t>
      </w:r>
      <w:r>
        <w:fldChar w:fldCharType="begin" w:fldLock="1"/>
      </w:r>
      <w:r>
        <w:instrText>ADDIN CSL_CITATION { "citationItems" : [ { "id" : "ITEM-1", "itemData" : { "author" : [ { "dropping-particle" : "", "family" : "Mazerolle", "given" : "Marc J", "non-dropping-particle" : "", "parse-names" : false, "suffix" : "" } ], "id" : "ITEM-1", "issued" : { "date-parts" : [ [ "2014" ] ] }, "number" : "2.0-1", "publisher" : "CRAN", "title" : "AICcmodavg: Model selection and multimodel inference based on (Q)AIC(c).", "type" : "article" }, "uris" : [ "http://www.mendeley.com/documents/?uuid=8e719efc-c50c-4bbc-b5c6-7055b558094c", "http://www.mendeley.com/documents/?uuid=f6992f52-0415-4e38-8f54-1bafdef74d30" ] } ], "mendeley" : { "formattedCitation" : "(Mazerolle 2014)", "plainTextFormattedCitation" : "(Mazerolle 2014)", "previouslyFormattedCitation" : "(Mazerolle 2014)" }, "properties" : { "noteIndex" : 0 }, "schema" : "https://github.com/citation-style-language/schema/raw/master/csl-citation.json" }</w:instrText>
      </w:r>
      <w:r>
        <w:fldChar w:fldCharType="separate"/>
      </w:r>
      <w:r w:rsidRPr="00067FA6">
        <w:rPr>
          <w:noProof/>
        </w:rPr>
        <w:t>(Mazerolle 2014)</w:t>
      </w:r>
      <w:r>
        <w:fldChar w:fldCharType="end"/>
      </w:r>
      <w:r>
        <w:t>.</w:t>
      </w:r>
      <w:r w:rsidR="002476FF" w:rsidRPr="002476FF">
        <w:t xml:space="preserve"> </w:t>
      </w:r>
      <w:bookmarkEnd w:id="16"/>
    </w:p>
    <w:p w14:paraId="7950B28A" w14:textId="09367B0C" w:rsidR="00021A1F" w:rsidRDefault="00021A1F" w:rsidP="00892A65">
      <w:pPr>
        <w:pStyle w:val="Caption"/>
        <w:keepNext/>
        <w:spacing w:after="240" w:line="240" w:lineRule="auto"/>
      </w:pPr>
      <w:bookmarkStart w:id="17" w:name="_Ref317426287"/>
      <w:r>
        <w:t xml:space="preserve">Table S </w:t>
      </w:r>
      <w:r w:rsidR="00C113F5">
        <w:fldChar w:fldCharType="begin"/>
      </w:r>
      <w:r w:rsidR="00C113F5">
        <w:instrText xml:space="preserve"> SEQ Table_S \* ARABIC </w:instrText>
      </w:r>
      <w:r w:rsidR="00C113F5">
        <w:fldChar w:fldCharType="separate"/>
      </w:r>
      <w:r w:rsidR="008E2533">
        <w:rPr>
          <w:noProof/>
        </w:rPr>
        <w:t>2</w:t>
      </w:r>
      <w:r w:rsidR="00C113F5">
        <w:rPr>
          <w:noProof/>
        </w:rPr>
        <w:fldChar w:fldCharType="end"/>
      </w:r>
      <w:bookmarkEnd w:id="17"/>
      <w:r>
        <w:t>.</w:t>
      </w:r>
      <w:r w:rsidRPr="00021A1F">
        <w:t xml:space="preserve"> </w:t>
      </w:r>
      <w:r>
        <w:t>All models fit to survival data from EMB bioassays.</w:t>
      </w:r>
    </w:p>
    <w:tbl>
      <w:tblPr>
        <w:tblW w:w="9909" w:type="dxa"/>
        <w:tblLayout w:type="fixed"/>
        <w:tblCellMar>
          <w:left w:w="0" w:type="dxa"/>
          <w:right w:w="0" w:type="dxa"/>
        </w:tblCellMar>
        <w:tblLook w:val="04A0" w:firstRow="1" w:lastRow="0" w:firstColumn="1" w:lastColumn="0" w:noHBand="0" w:noVBand="1"/>
      </w:tblPr>
      <w:tblGrid>
        <w:gridCol w:w="1066"/>
        <w:gridCol w:w="1050"/>
        <w:gridCol w:w="1585"/>
        <w:gridCol w:w="813"/>
        <w:gridCol w:w="1348"/>
        <w:gridCol w:w="1950"/>
        <w:gridCol w:w="2097"/>
      </w:tblGrid>
      <w:tr w:rsidR="001740D4" w:rsidRPr="006B0F07" w14:paraId="385080EC" w14:textId="77777777" w:rsidTr="006B0F07">
        <w:trPr>
          <w:trHeight w:hRule="exact" w:val="289"/>
        </w:trPr>
        <w:tc>
          <w:tcPr>
            <w:tcW w:w="1066" w:type="dxa"/>
            <w:vMerge w:val="restar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7BB8CC9"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model</w:t>
            </w:r>
          </w:p>
        </w:tc>
        <w:tc>
          <w:tcPr>
            <w:tcW w:w="8843" w:type="dxa"/>
            <w:gridSpan w:val="6"/>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114DC34"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fixed effect</w:t>
            </w:r>
          </w:p>
        </w:tc>
      </w:tr>
      <w:tr w:rsidR="006B0F07" w:rsidRPr="006B0F07" w14:paraId="34452AB0" w14:textId="77777777" w:rsidTr="006B0F07">
        <w:trPr>
          <w:trHeight w:hRule="exact" w:val="289"/>
        </w:trPr>
        <w:tc>
          <w:tcPr>
            <w:tcW w:w="1066" w:type="dxa"/>
            <w:vMerge/>
            <w:tcBorders>
              <w:top w:val="single" w:sz="4" w:space="0" w:color="auto"/>
              <w:left w:val="nil"/>
              <w:bottom w:val="single" w:sz="4" w:space="0" w:color="auto"/>
              <w:right w:val="nil"/>
            </w:tcBorders>
            <w:vAlign w:val="center"/>
            <w:hideMark/>
          </w:tcPr>
          <w:p w14:paraId="036EA2E6" w14:textId="77777777" w:rsidR="001740D4" w:rsidRPr="006B0F07" w:rsidRDefault="001740D4" w:rsidP="0081780E">
            <w:pPr>
              <w:keepNext/>
              <w:keepLines/>
              <w:rPr>
                <w:rFonts w:eastAsia="Times New Roman" w:cs="Times New Roman"/>
                <w:color w:val="000000"/>
              </w:rPr>
            </w:pPr>
          </w:p>
        </w:tc>
        <w:tc>
          <w:tcPr>
            <w:tcW w:w="105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66BF7C5"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sex</w:t>
            </w:r>
          </w:p>
        </w:tc>
        <w:tc>
          <w:tcPr>
            <w:tcW w:w="1585"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370D0C78" w14:textId="77777777" w:rsidR="001740D4" w:rsidRPr="006B0F07" w:rsidRDefault="001740D4" w:rsidP="0081780E">
            <w:pPr>
              <w:keepNext/>
              <w:keepLines/>
              <w:ind w:left="-299" w:right="-298"/>
              <w:jc w:val="center"/>
              <w:rPr>
                <w:rFonts w:eastAsia="Times New Roman" w:cs="Times New Roman"/>
                <w:b/>
                <w:color w:val="000000"/>
              </w:rPr>
            </w:pPr>
            <w:r w:rsidRPr="006B0F07">
              <w:rPr>
                <w:rFonts w:eastAsia="Times New Roman" w:cs="Times New Roman"/>
                <w:b/>
                <w:color w:val="000000"/>
              </w:rPr>
              <w:t>concentration*</w:t>
            </w:r>
          </w:p>
        </w:tc>
        <w:tc>
          <w:tcPr>
            <w:tcW w:w="813"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0AA43183"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year</w:t>
            </w:r>
          </w:p>
        </w:tc>
        <w:tc>
          <w:tcPr>
            <w:tcW w:w="134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580C20DE"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sex:year</w:t>
            </w:r>
          </w:p>
        </w:tc>
        <w:tc>
          <w:tcPr>
            <w:tcW w:w="1950"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6455B9EA" w14:textId="77777777" w:rsidR="001740D4" w:rsidRPr="006B0F07" w:rsidRDefault="001740D4" w:rsidP="0081780E">
            <w:pPr>
              <w:keepNext/>
              <w:keepLines/>
              <w:ind w:left="-157" w:right="-157"/>
              <w:jc w:val="center"/>
              <w:rPr>
                <w:rFonts w:eastAsia="Times New Roman" w:cs="Times New Roman"/>
                <w:b/>
                <w:color w:val="000000"/>
              </w:rPr>
            </w:pPr>
            <w:r w:rsidRPr="006B0F07">
              <w:rPr>
                <w:rFonts w:eastAsia="Times New Roman" w:cs="Times New Roman"/>
                <w:b/>
                <w:color w:val="000000"/>
              </w:rPr>
              <w:t>sex:concentration</w:t>
            </w:r>
          </w:p>
        </w:tc>
        <w:tc>
          <w:tcPr>
            <w:tcW w:w="2097"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14:paraId="47CA3AF9" w14:textId="77777777" w:rsidR="001740D4" w:rsidRPr="006B0F07" w:rsidRDefault="001740D4" w:rsidP="0081780E">
            <w:pPr>
              <w:keepNext/>
              <w:keepLines/>
              <w:jc w:val="center"/>
              <w:rPr>
                <w:rFonts w:eastAsia="Times New Roman" w:cs="Times New Roman"/>
                <w:b/>
                <w:color w:val="000000"/>
              </w:rPr>
            </w:pPr>
            <w:r w:rsidRPr="006B0F07">
              <w:rPr>
                <w:rFonts w:eastAsia="Times New Roman" w:cs="Times New Roman"/>
                <w:b/>
                <w:color w:val="000000"/>
              </w:rPr>
              <w:t>concentration:year</w:t>
            </w:r>
          </w:p>
        </w:tc>
      </w:tr>
      <w:tr w:rsidR="006B0F07" w:rsidRPr="006B0F07" w14:paraId="05A09D8D"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C837FA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3BC5CC3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E392970"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1F76907"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B852C59"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F03475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BD5D6D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r w:rsidR="006B0F07" w:rsidRPr="006B0F07" w14:paraId="67BE1398"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7DC8E5CA"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2</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1F245FB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517971C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3B0DFDBD"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22CC027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07878206"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7493DE24"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r>
      <w:tr w:rsidR="006B0F07" w:rsidRPr="006B0F07" w14:paraId="1FF2B42D"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0202ACA0"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3</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3BA53A03"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CAF4E4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7C5B95D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090704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03175D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481BB14"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r w:rsidR="006B0F07" w:rsidRPr="006B0F07" w14:paraId="646D9F2E" w14:textId="77777777" w:rsidTr="006B0F07">
        <w:trPr>
          <w:trHeight w:hRule="exact" w:val="289"/>
        </w:trPr>
        <w:tc>
          <w:tcPr>
            <w:tcW w:w="1066" w:type="dxa"/>
            <w:tcBorders>
              <w:top w:val="nil"/>
              <w:left w:val="nil"/>
              <w:bottom w:val="nil"/>
              <w:right w:val="nil"/>
            </w:tcBorders>
            <w:shd w:val="clear" w:color="auto" w:fill="FFFFFF" w:themeFill="background1"/>
            <w:noWrap/>
            <w:tcMar>
              <w:top w:w="15" w:type="dxa"/>
              <w:left w:w="15" w:type="dxa"/>
              <w:bottom w:w="0" w:type="dxa"/>
              <w:right w:w="15" w:type="dxa"/>
            </w:tcMar>
            <w:vAlign w:val="center"/>
            <w:hideMark/>
          </w:tcPr>
          <w:p w14:paraId="3CF6E7E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4</w:t>
            </w:r>
          </w:p>
        </w:tc>
        <w:tc>
          <w:tcPr>
            <w:tcW w:w="1050"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672A922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6735E631"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19CCC197"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5F2B84E3"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950"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2395D9C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2097" w:type="dxa"/>
            <w:tcBorders>
              <w:top w:val="nil"/>
              <w:left w:val="nil"/>
              <w:bottom w:val="nil"/>
              <w:right w:val="nil"/>
            </w:tcBorders>
            <w:shd w:val="clear" w:color="auto" w:fill="FFFFFF" w:themeFill="background1"/>
            <w:noWrap/>
            <w:tcMar>
              <w:top w:w="15" w:type="dxa"/>
              <w:left w:w="15" w:type="dxa"/>
              <w:bottom w:w="0" w:type="dxa"/>
              <w:right w:w="15" w:type="dxa"/>
            </w:tcMar>
            <w:vAlign w:val="bottom"/>
            <w:hideMark/>
          </w:tcPr>
          <w:p w14:paraId="46D13F13"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r w:rsidR="006B0F07" w:rsidRPr="006B0F07" w14:paraId="1C183B51"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5C809B66"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5</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CD68347"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5C7711D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5EF5014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78400C1D"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C1D9B43" w14:textId="77777777" w:rsidR="001740D4" w:rsidRPr="006B0F07" w:rsidRDefault="001740D4" w:rsidP="0081780E">
            <w:pPr>
              <w:keepNext/>
              <w:keepLines/>
              <w:jc w:val="center"/>
              <w:rPr>
                <w:rFonts w:eastAsia="Times New Roman" w:cs="Times New Roman"/>
                <w:color w:val="000000"/>
              </w:rPr>
            </w:pP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6DA3461" w14:textId="77777777" w:rsidR="001740D4" w:rsidRPr="006B0F07" w:rsidRDefault="001740D4" w:rsidP="0081780E">
            <w:pPr>
              <w:keepNext/>
              <w:keepLines/>
              <w:jc w:val="center"/>
              <w:rPr>
                <w:rFonts w:eastAsia="Times New Roman" w:cs="Times New Roman"/>
                <w:color w:val="000000"/>
              </w:rPr>
            </w:pPr>
          </w:p>
        </w:tc>
      </w:tr>
      <w:tr w:rsidR="006B0F07" w:rsidRPr="006B0F07" w14:paraId="464369BE"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68A8503D"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6</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1C1B2EB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59DD0F2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109B4D19"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30E96A36"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059C60F4"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5B40211E" w14:textId="77777777" w:rsidR="001740D4" w:rsidRPr="006B0F07" w:rsidRDefault="001740D4" w:rsidP="0081780E">
            <w:pPr>
              <w:keepNext/>
              <w:keepLines/>
              <w:jc w:val="center"/>
              <w:rPr>
                <w:rFonts w:eastAsia="Times New Roman" w:cs="Times New Roman"/>
                <w:color w:val="000000"/>
              </w:rPr>
            </w:pPr>
          </w:p>
        </w:tc>
      </w:tr>
      <w:tr w:rsidR="006B0F07" w:rsidRPr="006B0F07" w14:paraId="0953D450"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233C82C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7</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372D813"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7D8366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CACF885"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2C6E900"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3E560F1" w14:textId="77777777" w:rsidR="001740D4" w:rsidRPr="006B0F07" w:rsidRDefault="001740D4" w:rsidP="0081780E">
            <w:pPr>
              <w:keepNext/>
              <w:keepLines/>
              <w:jc w:val="center"/>
              <w:rPr>
                <w:rFonts w:eastAsia="Times New Roman" w:cs="Times New Roman"/>
                <w:color w:val="000000"/>
              </w:rPr>
            </w:pP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51C4E361"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r w:rsidR="006B0F07" w:rsidRPr="006B0F07" w14:paraId="7B6B83EF"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7004ACE5"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8</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7E69B0F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37B7FE61"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28A69DB1"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1AFC4999"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5BA0323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2BB28A2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r>
      <w:tr w:rsidR="006B0F07" w:rsidRPr="006B0F07" w14:paraId="0C02F74C"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66B172BD"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9</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08BB3D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A804B7A"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36DC5C84" w14:textId="77777777" w:rsidR="001740D4" w:rsidRPr="006B0F07" w:rsidRDefault="001740D4" w:rsidP="0081780E">
            <w:pPr>
              <w:keepNext/>
              <w:keepLines/>
              <w:jc w:val="center"/>
              <w:rPr>
                <w:rFonts w:eastAsia="Times New Roman" w:cs="Times New Roman"/>
                <w:color w:val="000000"/>
              </w:rPr>
            </w:pP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3ED5FB96"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322175D8" w14:textId="77777777" w:rsidR="001740D4" w:rsidRPr="006B0F07" w:rsidRDefault="001740D4" w:rsidP="0081780E">
            <w:pPr>
              <w:keepNext/>
              <w:keepLines/>
              <w:jc w:val="center"/>
              <w:rPr>
                <w:rFonts w:eastAsia="Times New Roman" w:cs="Times New Roman"/>
                <w:color w:val="000000"/>
              </w:rPr>
            </w:pP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48B2BCD4" w14:textId="77777777" w:rsidR="001740D4" w:rsidRPr="006B0F07" w:rsidRDefault="001740D4" w:rsidP="0081780E">
            <w:pPr>
              <w:keepNext/>
              <w:keepLines/>
              <w:jc w:val="center"/>
              <w:rPr>
                <w:rFonts w:eastAsia="Times New Roman" w:cs="Times New Roman"/>
                <w:color w:val="000000"/>
              </w:rPr>
            </w:pPr>
          </w:p>
        </w:tc>
      </w:tr>
      <w:tr w:rsidR="006B0F07" w:rsidRPr="006B0F07" w14:paraId="76AAF154"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68D5CFC3"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10</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6D904BAC" w14:textId="77777777" w:rsidR="001740D4" w:rsidRPr="006B0F07" w:rsidRDefault="001740D4" w:rsidP="0081780E">
            <w:pPr>
              <w:keepNext/>
              <w:keepLines/>
              <w:jc w:val="center"/>
              <w:rPr>
                <w:rFonts w:eastAsia="Times New Roman" w:cs="Times New Roman"/>
                <w:color w:val="000000"/>
              </w:rPr>
            </w:pP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53B3EB89"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385FCFE5"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4EB757F6"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6AB6550D" w14:textId="77777777" w:rsidR="001740D4" w:rsidRPr="006B0F07" w:rsidRDefault="001740D4" w:rsidP="0081780E">
            <w:pPr>
              <w:keepNext/>
              <w:keepLines/>
              <w:jc w:val="center"/>
              <w:rPr>
                <w:rFonts w:eastAsia="Times New Roman" w:cs="Times New Roman"/>
                <w:color w:val="000000"/>
              </w:rPr>
            </w:pP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6FE9C802" w14:textId="77777777" w:rsidR="001740D4" w:rsidRPr="006B0F07" w:rsidRDefault="001740D4" w:rsidP="0081780E">
            <w:pPr>
              <w:keepNext/>
              <w:keepLines/>
              <w:jc w:val="center"/>
              <w:rPr>
                <w:rFonts w:eastAsia="Times New Roman" w:cs="Times New Roman"/>
                <w:color w:val="000000"/>
              </w:rPr>
            </w:pPr>
          </w:p>
        </w:tc>
      </w:tr>
      <w:tr w:rsidR="006B0F07" w:rsidRPr="006B0F07" w14:paraId="08F0A3A1"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16F9266B"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11</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F4396E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0F02344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29C5F8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409D926"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8DC3A2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3AEEE17"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r>
      <w:tr w:rsidR="006B0F07" w:rsidRPr="006B0F07" w14:paraId="6EA2D85A"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12C1FE9B"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12</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37512CB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402E43D9"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49EDB8F8" w14:textId="77777777" w:rsidR="001740D4" w:rsidRPr="006B0F07" w:rsidRDefault="001740D4" w:rsidP="0081780E">
            <w:pPr>
              <w:keepNext/>
              <w:keepLines/>
              <w:jc w:val="center"/>
              <w:rPr>
                <w:rFonts w:eastAsia="Times New Roman" w:cs="Times New Roman"/>
                <w:color w:val="000000"/>
              </w:rPr>
            </w:pP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3FDDD377"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3C06601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5BA1F0E1" w14:textId="77777777" w:rsidR="001740D4" w:rsidRPr="006B0F07" w:rsidRDefault="001740D4" w:rsidP="0081780E">
            <w:pPr>
              <w:keepNext/>
              <w:keepLines/>
              <w:jc w:val="center"/>
              <w:rPr>
                <w:rFonts w:eastAsia="Times New Roman" w:cs="Times New Roman"/>
                <w:color w:val="000000"/>
              </w:rPr>
            </w:pPr>
          </w:p>
        </w:tc>
      </w:tr>
      <w:tr w:rsidR="006B0F07" w:rsidRPr="006B0F07" w14:paraId="3B100855" w14:textId="77777777" w:rsidTr="006B0F07">
        <w:trPr>
          <w:trHeight w:hRule="exact" w:val="289"/>
        </w:trPr>
        <w:tc>
          <w:tcPr>
            <w:tcW w:w="1066"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center"/>
            <w:hideMark/>
          </w:tcPr>
          <w:p w14:paraId="7852F51F"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13</w:t>
            </w:r>
          </w:p>
        </w:tc>
        <w:tc>
          <w:tcPr>
            <w:tcW w:w="10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21928CFE" w14:textId="77777777" w:rsidR="001740D4" w:rsidRPr="006B0F07" w:rsidRDefault="001740D4" w:rsidP="0081780E">
            <w:pPr>
              <w:keepNext/>
              <w:keepLines/>
              <w:jc w:val="center"/>
              <w:rPr>
                <w:rFonts w:eastAsia="Times New Roman" w:cs="Times New Roman"/>
                <w:color w:val="000000"/>
              </w:rPr>
            </w:pPr>
          </w:p>
        </w:tc>
        <w:tc>
          <w:tcPr>
            <w:tcW w:w="1585"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0E37A0F4"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0726585B"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1348"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651858DF"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72165D97" w14:textId="77777777" w:rsidR="001740D4" w:rsidRPr="006B0F07" w:rsidRDefault="001740D4" w:rsidP="0081780E">
            <w:pPr>
              <w:keepNext/>
              <w:keepLines/>
              <w:jc w:val="center"/>
              <w:rPr>
                <w:rFonts w:eastAsia="Times New Roman" w:cs="Times New Roman"/>
                <w:color w:val="000000"/>
              </w:rPr>
            </w:pPr>
          </w:p>
        </w:tc>
        <w:tc>
          <w:tcPr>
            <w:tcW w:w="2097" w:type="dxa"/>
            <w:tcBorders>
              <w:top w:val="nil"/>
              <w:left w:val="nil"/>
              <w:bottom w:val="nil"/>
              <w:right w:val="nil"/>
            </w:tcBorders>
            <w:shd w:val="clear" w:color="auto" w:fill="D9D9D9" w:themeFill="background1" w:themeFillShade="D9"/>
            <w:noWrap/>
            <w:tcMar>
              <w:top w:w="15" w:type="dxa"/>
              <w:left w:w="15" w:type="dxa"/>
              <w:bottom w:w="0" w:type="dxa"/>
              <w:right w:w="15" w:type="dxa"/>
            </w:tcMar>
            <w:vAlign w:val="bottom"/>
            <w:hideMark/>
          </w:tcPr>
          <w:p w14:paraId="5F11705A"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r w:rsidR="006B0F07" w:rsidRPr="006B0F07" w14:paraId="0D001E03" w14:textId="77777777" w:rsidTr="006B0F07">
        <w:trPr>
          <w:trHeight w:hRule="exact" w:val="289"/>
        </w:trPr>
        <w:tc>
          <w:tcPr>
            <w:tcW w:w="1066" w:type="dxa"/>
            <w:tcBorders>
              <w:top w:val="nil"/>
              <w:left w:val="nil"/>
              <w:bottom w:val="nil"/>
              <w:right w:val="nil"/>
            </w:tcBorders>
            <w:shd w:val="clear" w:color="auto" w:fill="auto"/>
            <w:noWrap/>
            <w:tcMar>
              <w:top w:w="15" w:type="dxa"/>
              <w:left w:w="15" w:type="dxa"/>
              <w:bottom w:w="0" w:type="dxa"/>
              <w:right w:w="15" w:type="dxa"/>
            </w:tcMar>
            <w:vAlign w:val="center"/>
            <w:hideMark/>
          </w:tcPr>
          <w:p w14:paraId="711C8456"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14</w:t>
            </w:r>
          </w:p>
        </w:tc>
        <w:tc>
          <w:tcPr>
            <w:tcW w:w="1050" w:type="dxa"/>
            <w:tcBorders>
              <w:top w:val="nil"/>
              <w:left w:val="nil"/>
              <w:bottom w:val="nil"/>
              <w:right w:val="nil"/>
            </w:tcBorders>
            <w:shd w:val="clear" w:color="auto" w:fill="auto"/>
            <w:noWrap/>
            <w:tcMar>
              <w:top w:w="15" w:type="dxa"/>
              <w:left w:w="15" w:type="dxa"/>
              <w:bottom w:w="0" w:type="dxa"/>
              <w:right w:w="15" w:type="dxa"/>
            </w:tcMar>
            <w:vAlign w:val="bottom"/>
            <w:hideMark/>
          </w:tcPr>
          <w:p w14:paraId="6E0DC0D0" w14:textId="77777777" w:rsidR="001740D4" w:rsidRPr="006B0F07" w:rsidRDefault="001740D4" w:rsidP="0081780E">
            <w:pPr>
              <w:keepNext/>
              <w:keepLines/>
              <w:jc w:val="center"/>
              <w:rPr>
                <w:rFonts w:eastAsia="Times New Roman" w:cs="Times New Roman"/>
                <w:color w:val="000000"/>
              </w:rPr>
            </w:pPr>
          </w:p>
        </w:tc>
        <w:tc>
          <w:tcPr>
            <w:tcW w:w="1585" w:type="dxa"/>
            <w:tcBorders>
              <w:top w:val="nil"/>
              <w:left w:val="nil"/>
              <w:bottom w:val="nil"/>
              <w:right w:val="nil"/>
            </w:tcBorders>
            <w:shd w:val="clear" w:color="auto" w:fill="auto"/>
            <w:noWrap/>
            <w:tcMar>
              <w:top w:w="15" w:type="dxa"/>
              <w:left w:w="15" w:type="dxa"/>
              <w:bottom w:w="0" w:type="dxa"/>
              <w:right w:w="15" w:type="dxa"/>
            </w:tcMar>
            <w:vAlign w:val="bottom"/>
            <w:hideMark/>
          </w:tcPr>
          <w:p w14:paraId="20AAE938"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nil"/>
              <w:right w:val="nil"/>
            </w:tcBorders>
            <w:shd w:val="clear" w:color="auto" w:fill="auto"/>
            <w:noWrap/>
            <w:tcMar>
              <w:top w:w="15" w:type="dxa"/>
              <w:left w:w="15" w:type="dxa"/>
              <w:bottom w:w="0" w:type="dxa"/>
              <w:right w:w="15" w:type="dxa"/>
            </w:tcMar>
            <w:vAlign w:val="bottom"/>
            <w:hideMark/>
          </w:tcPr>
          <w:p w14:paraId="57C1D459" w14:textId="77777777" w:rsidR="001740D4" w:rsidRPr="006B0F07" w:rsidRDefault="001740D4" w:rsidP="0081780E">
            <w:pPr>
              <w:keepNext/>
              <w:keepLines/>
              <w:jc w:val="center"/>
              <w:rPr>
                <w:rFonts w:eastAsia="Times New Roman" w:cs="Times New Roman"/>
                <w:color w:val="000000"/>
              </w:rPr>
            </w:pPr>
          </w:p>
        </w:tc>
        <w:tc>
          <w:tcPr>
            <w:tcW w:w="1348" w:type="dxa"/>
            <w:tcBorders>
              <w:top w:val="nil"/>
              <w:left w:val="nil"/>
              <w:bottom w:val="nil"/>
              <w:right w:val="nil"/>
            </w:tcBorders>
            <w:shd w:val="clear" w:color="auto" w:fill="auto"/>
            <w:noWrap/>
            <w:tcMar>
              <w:top w:w="15" w:type="dxa"/>
              <w:left w:w="15" w:type="dxa"/>
              <w:bottom w:w="0" w:type="dxa"/>
              <w:right w:w="15" w:type="dxa"/>
            </w:tcMar>
            <w:vAlign w:val="bottom"/>
            <w:hideMark/>
          </w:tcPr>
          <w:p w14:paraId="41FC2D5A" w14:textId="77777777" w:rsidR="001740D4" w:rsidRPr="006B0F07" w:rsidRDefault="001740D4" w:rsidP="0081780E">
            <w:pPr>
              <w:keepNext/>
              <w:keepLines/>
              <w:jc w:val="center"/>
              <w:rPr>
                <w:rFonts w:eastAsia="Times New Roman" w:cs="Times New Roman"/>
                <w:color w:val="000000"/>
              </w:rPr>
            </w:pPr>
          </w:p>
        </w:tc>
        <w:tc>
          <w:tcPr>
            <w:tcW w:w="1950" w:type="dxa"/>
            <w:tcBorders>
              <w:top w:val="nil"/>
              <w:left w:val="nil"/>
              <w:bottom w:val="nil"/>
              <w:right w:val="nil"/>
            </w:tcBorders>
            <w:shd w:val="clear" w:color="auto" w:fill="auto"/>
            <w:noWrap/>
            <w:tcMar>
              <w:top w:w="15" w:type="dxa"/>
              <w:left w:w="15" w:type="dxa"/>
              <w:bottom w:w="0" w:type="dxa"/>
              <w:right w:w="15" w:type="dxa"/>
            </w:tcMar>
            <w:vAlign w:val="bottom"/>
            <w:hideMark/>
          </w:tcPr>
          <w:p w14:paraId="0264B96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2097" w:type="dxa"/>
            <w:tcBorders>
              <w:top w:val="nil"/>
              <w:left w:val="nil"/>
              <w:bottom w:val="nil"/>
              <w:right w:val="nil"/>
            </w:tcBorders>
            <w:shd w:val="clear" w:color="auto" w:fill="auto"/>
            <w:noWrap/>
            <w:tcMar>
              <w:top w:w="15" w:type="dxa"/>
              <w:left w:w="15" w:type="dxa"/>
              <w:bottom w:w="0" w:type="dxa"/>
              <w:right w:w="15" w:type="dxa"/>
            </w:tcMar>
            <w:vAlign w:val="bottom"/>
            <w:hideMark/>
          </w:tcPr>
          <w:p w14:paraId="6D2A5B5E" w14:textId="77777777" w:rsidR="001740D4" w:rsidRPr="006B0F07" w:rsidRDefault="001740D4" w:rsidP="0081780E">
            <w:pPr>
              <w:keepNext/>
              <w:keepLines/>
              <w:jc w:val="center"/>
              <w:rPr>
                <w:rFonts w:eastAsia="Times New Roman" w:cs="Times New Roman"/>
                <w:color w:val="000000"/>
              </w:rPr>
            </w:pPr>
          </w:p>
        </w:tc>
      </w:tr>
      <w:tr w:rsidR="006B0F07" w:rsidRPr="006B0F07" w14:paraId="3B75E2FE" w14:textId="77777777" w:rsidTr="006B0F07">
        <w:trPr>
          <w:trHeight w:hRule="exact" w:val="289"/>
        </w:trPr>
        <w:tc>
          <w:tcPr>
            <w:tcW w:w="1066"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center"/>
            <w:hideMark/>
          </w:tcPr>
          <w:p w14:paraId="588C230B"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15</w:t>
            </w:r>
          </w:p>
        </w:tc>
        <w:tc>
          <w:tcPr>
            <w:tcW w:w="1050"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1329418E"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585"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30C48EEC"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c>
          <w:tcPr>
            <w:tcW w:w="813"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7FABBF42"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348"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7AD54AC6"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1950"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63A27B40"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 </w:t>
            </w:r>
          </w:p>
        </w:tc>
        <w:tc>
          <w:tcPr>
            <w:tcW w:w="2097" w:type="dxa"/>
            <w:tcBorders>
              <w:top w:val="nil"/>
              <w:left w:val="nil"/>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6B5F20B0" w14:textId="77777777" w:rsidR="001740D4" w:rsidRPr="006B0F07" w:rsidRDefault="001740D4" w:rsidP="0081780E">
            <w:pPr>
              <w:keepNext/>
              <w:keepLines/>
              <w:jc w:val="center"/>
              <w:rPr>
                <w:rFonts w:eastAsia="Times New Roman" w:cs="Times New Roman"/>
                <w:color w:val="000000"/>
              </w:rPr>
            </w:pPr>
            <w:r w:rsidRPr="006B0F07">
              <w:rPr>
                <w:rFonts w:eastAsia="Times New Roman" w:cs="Times New Roman"/>
                <w:color w:val="000000"/>
              </w:rPr>
              <w:t>x</w:t>
            </w:r>
          </w:p>
        </w:tc>
      </w:tr>
    </w:tbl>
    <w:p w14:paraId="34920935" w14:textId="71D24EE2" w:rsidR="001740D4" w:rsidRPr="001740D4" w:rsidRDefault="001740D4" w:rsidP="0081780E">
      <w:pPr>
        <w:keepNext/>
        <w:keepLines/>
      </w:pPr>
      <w:r w:rsidRPr="001740D4">
        <w:t xml:space="preserve">*Emamectin </w:t>
      </w:r>
      <w:r w:rsidR="006B0F07">
        <w:t>b</w:t>
      </w:r>
      <w:r w:rsidRPr="001740D4">
        <w:t>enzoate concentration</w:t>
      </w:r>
    </w:p>
    <w:p w14:paraId="66F212A9" w14:textId="77777777" w:rsidR="001740D4" w:rsidRPr="001740D4" w:rsidRDefault="001740D4" w:rsidP="001740D4"/>
    <w:p w14:paraId="4C1C29DA" w14:textId="03F9F38E" w:rsidR="006B0F07" w:rsidRPr="006B0F07" w:rsidRDefault="001740D4" w:rsidP="00892A65">
      <w:pPr>
        <w:spacing w:after="240"/>
      </w:pPr>
      <w:r w:rsidRPr="00021A1F">
        <w:lastRenderedPageBreak/>
        <w:t xml:space="preserve">Table S </w:t>
      </w:r>
      <w:r w:rsidR="00C113F5">
        <w:fldChar w:fldCharType="begin"/>
      </w:r>
      <w:r w:rsidR="00C113F5">
        <w:instrText xml:space="preserve"> SEQ Table_S \* ARABIC </w:instrText>
      </w:r>
      <w:r w:rsidR="00C113F5">
        <w:fldChar w:fldCharType="separate"/>
      </w:r>
      <w:r w:rsidR="008E2533">
        <w:rPr>
          <w:noProof/>
        </w:rPr>
        <w:t>3</w:t>
      </w:r>
      <w:r w:rsidR="00C113F5">
        <w:rPr>
          <w:noProof/>
        </w:rPr>
        <w:fldChar w:fldCharType="end"/>
      </w:r>
      <w:r w:rsidRPr="00E37AFB">
        <w:rPr>
          <w:rFonts w:cs="Times New Roman"/>
        </w:rPr>
        <w:t>.</w:t>
      </w:r>
      <w:r w:rsidRPr="00021A1F">
        <w:rPr>
          <w:rFonts w:cs="Times New Roman"/>
        </w:rPr>
        <w:t xml:space="preserve"> Model selection statistics for all models fit to survival data from EMB bioassays</w:t>
      </w:r>
      <w:r w:rsidR="00D04623">
        <w:rPr>
          <w:rFonts w:cs="Times New Roman"/>
        </w:rPr>
        <w:t xml:space="preserve"> (Table S1).</w:t>
      </w:r>
    </w:p>
    <w:tbl>
      <w:tblPr>
        <w:tblW w:w="9726" w:type="dxa"/>
        <w:tblLayout w:type="fixed"/>
        <w:tblCellMar>
          <w:left w:w="0" w:type="dxa"/>
          <w:right w:w="0" w:type="dxa"/>
        </w:tblCellMar>
        <w:tblLook w:val="04A0" w:firstRow="1" w:lastRow="0" w:firstColumn="1" w:lastColumn="0" w:noHBand="0" w:noVBand="1"/>
      </w:tblPr>
      <w:tblGrid>
        <w:gridCol w:w="1230"/>
        <w:gridCol w:w="1821"/>
        <w:gridCol w:w="1365"/>
        <w:gridCol w:w="1669"/>
        <w:gridCol w:w="1670"/>
        <w:gridCol w:w="1971"/>
      </w:tblGrid>
      <w:tr w:rsidR="002476FF" w:rsidRPr="006B0F07" w14:paraId="152CB50F" w14:textId="77777777" w:rsidTr="002476FF">
        <w:trPr>
          <w:trHeight w:val="288"/>
        </w:trPr>
        <w:tc>
          <w:tcPr>
            <w:tcW w:w="123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9923F81"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 xml:space="preserve">model   </w:t>
            </w:r>
          </w:p>
        </w:tc>
        <w:tc>
          <w:tcPr>
            <w:tcW w:w="1821" w:type="dxa"/>
            <w:tcBorders>
              <w:top w:val="single" w:sz="4" w:space="0" w:color="auto"/>
              <w:left w:val="nil"/>
              <w:bottom w:val="single" w:sz="4" w:space="0" w:color="auto"/>
              <w:right w:val="nil"/>
            </w:tcBorders>
            <w:vAlign w:val="center"/>
          </w:tcPr>
          <w:p w14:paraId="7A9B2F85"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 xml:space="preserve">negative </w:t>
            </w:r>
            <w:r w:rsidRPr="006B0F07">
              <w:rPr>
                <w:rFonts w:eastAsia="Times New Roman" w:cs="Times New Roman"/>
                <w:b/>
                <w:bCs/>
                <w:color w:val="000000"/>
              </w:rPr>
              <w:br/>
              <w:t>log-likelihood</w:t>
            </w:r>
          </w:p>
        </w:tc>
        <w:tc>
          <w:tcPr>
            <w:tcW w:w="136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E7B04AB"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number of  parameters</w:t>
            </w:r>
          </w:p>
        </w:tc>
        <w:tc>
          <w:tcPr>
            <w:tcW w:w="166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06ED7A2"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ΔAICc</w:t>
            </w:r>
          </w:p>
        </w:tc>
        <w:tc>
          <w:tcPr>
            <w:tcW w:w="167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7532E93"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Akaike weight</w:t>
            </w:r>
          </w:p>
        </w:tc>
        <w:tc>
          <w:tcPr>
            <w:tcW w:w="197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D2EBD9B" w14:textId="77777777" w:rsidR="001740D4" w:rsidRPr="006B0F07" w:rsidRDefault="001740D4" w:rsidP="00B16AD6">
            <w:pPr>
              <w:keepNext/>
              <w:keepLines/>
              <w:jc w:val="center"/>
              <w:rPr>
                <w:rFonts w:eastAsia="Times New Roman" w:cs="Times New Roman"/>
                <w:b/>
                <w:bCs/>
                <w:color w:val="000000"/>
              </w:rPr>
            </w:pPr>
            <w:r w:rsidRPr="006B0F07">
              <w:rPr>
                <w:rFonts w:eastAsia="Times New Roman" w:cs="Times New Roman"/>
                <w:b/>
                <w:bCs/>
                <w:color w:val="000000"/>
              </w:rPr>
              <w:t xml:space="preserve">cumulative </w:t>
            </w:r>
            <w:r w:rsidRPr="006B0F07">
              <w:rPr>
                <w:rFonts w:eastAsia="Times New Roman" w:cs="Times New Roman"/>
                <w:b/>
                <w:bCs/>
                <w:color w:val="000000"/>
              </w:rPr>
              <w:br/>
              <w:t>Akaike weight</w:t>
            </w:r>
          </w:p>
        </w:tc>
      </w:tr>
      <w:tr w:rsidR="002476FF" w:rsidRPr="006B0F07" w14:paraId="69FE4F58" w14:textId="77777777" w:rsidTr="002476FF">
        <w:trPr>
          <w:trHeight w:val="288"/>
        </w:trPr>
        <w:tc>
          <w:tcPr>
            <w:tcW w:w="123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F2ABA7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14</w:t>
            </w:r>
          </w:p>
        </w:tc>
        <w:tc>
          <w:tcPr>
            <w:tcW w:w="1821" w:type="dxa"/>
            <w:tcBorders>
              <w:top w:val="single" w:sz="4" w:space="0" w:color="auto"/>
              <w:left w:val="nil"/>
              <w:bottom w:val="nil"/>
              <w:right w:val="nil"/>
            </w:tcBorders>
            <w:vAlign w:val="center"/>
          </w:tcPr>
          <w:p w14:paraId="553F7184"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-125.323</w:t>
            </w:r>
          </w:p>
        </w:tc>
        <w:tc>
          <w:tcPr>
            <w:tcW w:w="136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DF2C784"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4</w:t>
            </w:r>
          </w:p>
        </w:tc>
        <w:tc>
          <w:tcPr>
            <w:tcW w:w="1669"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5DD08B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0.000</w:t>
            </w:r>
          </w:p>
        </w:tc>
        <w:tc>
          <w:tcPr>
            <w:tcW w:w="167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BA5292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0.224</w:t>
            </w:r>
          </w:p>
        </w:tc>
        <w:tc>
          <w:tcPr>
            <w:tcW w:w="1971"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A29A07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0.224</w:t>
            </w:r>
          </w:p>
        </w:tc>
      </w:tr>
      <w:tr w:rsidR="002476FF" w:rsidRPr="006B0F07" w14:paraId="427D243C"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5C36D9CE"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11</w:t>
            </w:r>
          </w:p>
        </w:tc>
        <w:tc>
          <w:tcPr>
            <w:tcW w:w="1821" w:type="dxa"/>
            <w:tcBorders>
              <w:top w:val="nil"/>
              <w:left w:val="nil"/>
              <w:bottom w:val="nil"/>
              <w:right w:val="nil"/>
            </w:tcBorders>
            <w:vAlign w:val="center"/>
          </w:tcPr>
          <w:p w14:paraId="3F4E90D3"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-126.692</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4416B216"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3</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35BAE21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0.669</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5D81507E"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0.160</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44F9E96F"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0.385</w:t>
            </w:r>
          </w:p>
        </w:tc>
      </w:tr>
      <w:tr w:rsidR="002476FF" w:rsidRPr="006B0F07" w14:paraId="3FF56D92"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55E3F4A0"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9</w:t>
            </w:r>
          </w:p>
        </w:tc>
        <w:tc>
          <w:tcPr>
            <w:tcW w:w="1821" w:type="dxa"/>
            <w:tcBorders>
              <w:top w:val="nil"/>
              <w:left w:val="nil"/>
              <w:bottom w:val="nil"/>
              <w:right w:val="nil"/>
            </w:tcBorders>
            <w:vAlign w:val="center"/>
          </w:tcPr>
          <w:p w14:paraId="252C8E5F"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-126.111</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395E89BC"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4</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7AD6C61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1.575</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1C7B380E"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0.102</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3E222BC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0.487</w:t>
            </w:r>
          </w:p>
        </w:tc>
      </w:tr>
      <w:tr w:rsidR="002476FF" w:rsidRPr="006B0F07" w14:paraId="75D0435B"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4579477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10</w:t>
            </w:r>
          </w:p>
        </w:tc>
        <w:tc>
          <w:tcPr>
            <w:tcW w:w="1821" w:type="dxa"/>
            <w:tcBorders>
              <w:top w:val="nil"/>
              <w:left w:val="nil"/>
              <w:bottom w:val="nil"/>
              <w:right w:val="nil"/>
            </w:tcBorders>
            <w:vAlign w:val="center"/>
          </w:tcPr>
          <w:p w14:paraId="58B685E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-126.275</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6D3ADBAE"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4</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060AA557"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1.905</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6175A949"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0.086</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79EC3593"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0.573</w:t>
            </w:r>
          </w:p>
        </w:tc>
      </w:tr>
      <w:tr w:rsidR="002476FF" w:rsidRPr="006B0F07" w14:paraId="16661B75"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51B4FD1C"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w:t>
            </w:r>
          </w:p>
        </w:tc>
        <w:tc>
          <w:tcPr>
            <w:tcW w:w="1821" w:type="dxa"/>
            <w:tcBorders>
              <w:top w:val="nil"/>
              <w:left w:val="nil"/>
              <w:bottom w:val="nil"/>
              <w:right w:val="nil"/>
            </w:tcBorders>
            <w:vAlign w:val="center"/>
          </w:tcPr>
          <w:p w14:paraId="275EE92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-125.289</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7F241A3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5</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270DC882"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2.019</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56D1DCB2"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0.082</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4C0C7EB7"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0.655</w:t>
            </w:r>
          </w:p>
        </w:tc>
      </w:tr>
      <w:tr w:rsidR="002476FF" w:rsidRPr="006B0F07" w14:paraId="337AF09A"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66381D56"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8</w:t>
            </w:r>
          </w:p>
        </w:tc>
        <w:tc>
          <w:tcPr>
            <w:tcW w:w="1821" w:type="dxa"/>
            <w:tcBorders>
              <w:top w:val="nil"/>
              <w:left w:val="nil"/>
              <w:bottom w:val="nil"/>
              <w:right w:val="nil"/>
            </w:tcBorders>
            <w:vAlign w:val="center"/>
          </w:tcPr>
          <w:p w14:paraId="11CA512C"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-125.623</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1998D22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5</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16C34C2F"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2.687</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5D4E6005"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0.059</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22C67B75"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0.713</w:t>
            </w:r>
          </w:p>
        </w:tc>
      </w:tr>
      <w:tr w:rsidR="002476FF" w:rsidRPr="006B0F07" w14:paraId="2FA3722D"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0E6D0729"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15</w:t>
            </w:r>
          </w:p>
        </w:tc>
        <w:tc>
          <w:tcPr>
            <w:tcW w:w="1821" w:type="dxa"/>
            <w:tcBorders>
              <w:top w:val="nil"/>
              <w:left w:val="nil"/>
              <w:bottom w:val="nil"/>
              <w:right w:val="nil"/>
            </w:tcBorders>
            <w:vAlign w:val="center"/>
          </w:tcPr>
          <w:p w14:paraId="07B860C0"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-126.691</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476469B6"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4</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72383B4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2.736</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72476D5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0.057</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393B366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0.770</w:t>
            </w:r>
          </w:p>
        </w:tc>
      </w:tr>
      <w:tr w:rsidR="002476FF" w:rsidRPr="006B0F07" w14:paraId="5CC97BA8"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2C5FF0E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6</w:t>
            </w:r>
          </w:p>
        </w:tc>
        <w:tc>
          <w:tcPr>
            <w:tcW w:w="1821" w:type="dxa"/>
            <w:tcBorders>
              <w:top w:val="nil"/>
              <w:left w:val="nil"/>
              <w:bottom w:val="nil"/>
              <w:right w:val="nil"/>
            </w:tcBorders>
            <w:vAlign w:val="center"/>
          </w:tcPr>
          <w:p w14:paraId="77A8BAF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-124.785</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1F1A27D2"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6</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497667D9"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3.116</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5E7AD163"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0.047</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28BFAFD6"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0.818</w:t>
            </w:r>
          </w:p>
        </w:tc>
      </w:tr>
      <w:tr w:rsidR="002476FF" w:rsidRPr="006B0F07" w14:paraId="5FF082D4"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3899D0D8"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13</w:t>
            </w:r>
          </w:p>
        </w:tc>
        <w:tc>
          <w:tcPr>
            <w:tcW w:w="1821" w:type="dxa"/>
            <w:tcBorders>
              <w:top w:val="nil"/>
              <w:left w:val="nil"/>
              <w:bottom w:val="nil"/>
              <w:right w:val="nil"/>
            </w:tcBorders>
            <w:vAlign w:val="center"/>
          </w:tcPr>
          <w:p w14:paraId="7FEDCF1F"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-126.019</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612FE49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5</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0561CA08"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3.478</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13903F78"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0.039</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1FDF98A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0.857</w:t>
            </w:r>
          </w:p>
        </w:tc>
      </w:tr>
      <w:tr w:rsidR="002476FF" w:rsidRPr="006B0F07" w14:paraId="7662203A"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28D7ED63"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5</w:t>
            </w:r>
          </w:p>
        </w:tc>
        <w:tc>
          <w:tcPr>
            <w:tcW w:w="1821" w:type="dxa"/>
            <w:tcBorders>
              <w:top w:val="nil"/>
              <w:left w:val="nil"/>
              <w:bottom w:val="nil"/>
              <w:right w:val="nil"/>
            </w:tcBorders>
            <w:vAlign w:val="center"/>
          </w:tcPr>
          <w:p w14:paraId="7EBAB7C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-125.087</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5C29D5DD"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6</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4BFE6783"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3.721</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79D5D977"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0.035</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1C049202"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0.892</w:t>
            </w:r>
          </w:p>
        </w:tc>
      </w:tr>
      <w:tr w:rsidR="002476FF" w:rsidRPr="006B0F07" w14:paraId="79BA4777"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2D7B588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2</w:t>
            </w:r>
          </w:p>
        </w:tc>
        <w:tc>
          <w:tcPr>
            <w:tcW w:w="1821" w:type="dxa"/>
            <w:tcBorders>
              <w:top w:val="nil"/>
              <w:left w:val="nil"/>
              <w:bottom w:val="nil"/>
              <w:right w:val="nil"/>
            </w:tcBorders>
            <w:vAlign w:val="center"/>
          </w:tcPr>
          <w:p w14:paraId="70008F8E"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-124.043</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60902A3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7</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15B0E5C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3.755</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3E6C2D61"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0.034</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5715C884"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0.926</w:t>
            </w:r>
          </w:p>
        </w:tc>
      </w:tr>
      <w:tr w:rsidR="002476FF" w:rsidRPr="006B0F07" w14:paraId="739F09B7"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7A54A66C"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7</w:t>
            </w:r>
          </w:p>
        </w:tc>
        <w:tc>
          <w:tcPr>
            <w:tcW w:w="1821" w:type="dxa"/>
            <w:tcBorders>
              <w:top w:val="nil"/>
              <w:left w:val="nil"/>
              <w:bottom w:val="nil"/>
              <w:right w:val="nil"/>
            </w:tcBorders>
            <w:vAlign w:val="center"/>
          </w:tcPr>
          <w:p w14:paraId="1C8189B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-125.362</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308D6E3A"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6</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3CCA6FC0"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4.271</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3D2DF9EF"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0.026</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27DA0FDB" w14:textId="77777777" w:rsidR="001740D4" w:rsidRPr="002476FF" w:rsidRDefault="001740D4" w:rsidP="00B16AD6">
            <w:pPr>
              <w:keepNext/>
              <w:keepLines/>
              <w:jc w:val="center"/>
              <w:rPr>
                <w:rFonts w:eastAsia="Times New Roman" w:cs="Times New Roman"/>
                <w:b/>
                <w:color w:val="000000"/>
              </w:rPr>
            </w:pPr>
            <w:r w:rsidRPr="002476FF">
              <w:rPr>
                <w:rFonts w:eastAsia="Times New Roman" w:cs="Times New Roman"/>
                <w:b/>
                <w:color w:val="000000"/>
              </w:rPr>
              <w:t>0.953</w:t>
            </w:r>
          </w:p>
        </w:tc>
      </w:tr>
      <w:tr w:rsidR="002476FF" w:rsidRPr="006B0F07" w14:paraId="1D453CD0"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3744A46C"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3</w:t>
            </w:r>
          </w:p>
        </w:tc>
        <w:tc>
          <w:tcPr>
            <w:tcW w:w="1821" w:type="dxa"/>
            <w:tcBorders>
              <w:top w:val="nil"/>
              <w:left w:val="nil"/>
              <w:bottom w:val="nil"/>
              <w:right w:val="nil"/>
            </w:tcBorders>
            <w:shd w:val="clear" w:color="auto" w:fill="auto"/>
            <w:vAlign w:val="center"/>
          </w:tcPr>
          <w:p w14:paraId="5F648F49"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-124.603</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2FD9CB5F"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7</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515BCBE9"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4.876</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49AA7FA9"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0.020</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2CF06451"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0.972</w:t>
            </w:r>
          </w:p>
        </w:tc>
      </w:tr>
      <w:tr w:rsidR="002476FF" w:rsidRPr="006B0F07" w14:paraId="1EFC82FB" w14:textId="77777777" w:rsidTr="002476FF">
        <w:trPr>
          <w:trHeight w:val="288"/>
        </w:trPr>
        <w:tc>
          <w:tcPr>
            <w:tcW w:w="1230" w:type="dxa"/>
            <w:tcBorders>
              <w:top w:val="nil"/>
              <w:left w:val="nil"/>
              <w:bottom w:val="nil"/>
              <w:right w:val="nil"/>
            </w:tcBorders>
            <w:shd w:val="clear" w:color="auto" w:fill="auto"/>
            <w:noWrap/>
            <w:tcMar>
              <w:top w:w="15" w:type="dxa"/>
              <w:left w:w="15" w:type="dxa"/>
              <w:bottom w:w="0" w:type="dxa"/>
              <w:right w:w="15" w:type="dxa"/>
            </w:tcMar>
            <w:vAlign w:val="center"/>
            <w:hideMark/>
          </w:tcPr>
          <w:p w14:paraId="043AB2AF"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4</w:t>
            </w:r>
          </w:p>
        </w:tc>
        <w:tc>
          <w:tcPr>
            <w:tcW w:w="1821" w:type="dxa"/>
            <w:tcBorders>
              <w:top w:val="nil"/>
              <w:left w:val="nil"/>
              <w:bottom w:val="nil"/>
              <w:right w:val="nil"/>
            </w:tcBorders>
            <w:shd w:val="clear" w:color="auto" w:fill="auto"/>
            <w:vAlign w:val="center"/>
          </w:tcPr>
          <w:p w14:paraId="5AE5A31D"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-124.882</w:t>
            </w:r>
          </w:p>
        </w:tc>
        <w:tc>
          <w:tcPr>
            <w:tcW w:w="1365" w:type="dxa"/>
            <w:tcBorders>
              <w:top w:val="nil"/>
              <w:left w:val="nil"/>
              <w:bottom w:val="nil"/>
              <w:right w:val="nil"/>
            </w:tcBorders>
            <w:shd w:val="clear" w:color="auto" w:fill="auto"/>
            <w:noWrap/>
            <w:tcMar>
              <w:top w:w="15" w:type="dxa"/>
              <w:left w:w="15" w:type="dxa"/>
              <w:bottom w:w="0" w:type="dxa"/>
              <w:right w:w="15" w:type="dxa"/>
            </w:tcMar>
            <w:vAlign w:val="center"/>
            <w:hideMark/>
          </w:tcPr>
          <w:p w14:paraId="36AF6A93"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7</w:t>
            </w:r>
          </w:p>
        </w:tc>
        <w:tc>
          <w:tcPr>
            <w:tcW w:w="1669" w:type="dxa"/>
            <w:tcBorders>
              <w:top w:val="nil"/>
              <w:left w:val="nil"/>
              <w:bottom w:val="nil"/>
              <w:right w:val="nil"/>
            </w:tcBorders>
            <w:shd w:val="clear" w:color="auto" w:fill="auto"/>
            <w:noWrap/>
            <w:tcMar>
              <w:top w:w="15" w:type="dxa"/>
              <w:left w:w="15" w:type="dxa"/>
              <w:bottom w:w="0" w:type="dxa"/>
              <w:right w:w="15" w:type="dxa"/>
            </w:tcMar>
            <w:vAlign w:val="center"/>
            <w:hideMark/>
          </w:tcPr>
          <w:p w14:paraId="0298577B"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5.433</w:t>
            </w:r>
          </w:p>
        </w:tc>
        <w:tc>
          <w:tcPr>
            <w:tcW w:w="1670" w:type="dxa"/>
            <w:tcBorders>
              <w:top w:val="nil"/>
              <w:left w:val="nil"/>
              <w:bottom w:val="nil"/>
              <w:right w:val="nil"/>
            </w:tcBorders>
            <w:shd w:val="clear" w:color="auto" w:fill="auto"/>
            <w:noWrap/>
            <w:tcMar>
              <w:top w:w="15" w:type="dxa"/>
              <w:left w:w="15" w:type="dxa"/>
              <w:bottom w:w="0" w:type="dxa"/>
              <w:right w:w="15" w:type="dxa"/>
            </w:tcMar>
            <w:vAlign w:val="center"/>
            <w:hideMark/>
          </w:tcPr>
          <w:p w14:paraId="2960C780"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0.015</w:t>
            </w:r>
          </w:p>
        </w:tc>
        <w:tc>
          <w:tcPr>
            <w:tcW w:w="1971" w:type="dxa"/>
            <w:tcBorders>
              <w:top w:val="nil"/>
              <w:left w:val="nil"/>
              <w:bottom w:val="nil"/>
              <w:right w:val="nil"/>
            </w:tcBorders>
            <w:shd w:val="clear" w:color="auto" w:fill="auto"/>
            <w:noWrap/>
            <w:tcMar>
              <w:top w:w="15" w:type="dxa"/>
              <w:left w:w="15" w:type="dxa"/>
              <w:bottom w:w="0" w:type="dxa"/>
              <w:right w:w="15" w:type="dxa"/>
            </w:tcMar>
            <w:vAlign w:val="center"/>
            <w:hideMark/>
          </w:tcPr>
          <w:p w14:paraId="00D24DBA"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0.987</w:t>
            </w:r>
          </w:p>
        </w:tc>
      </w:tr>
      <w:tr w:rsidR="002476FF" w:rsidRPr="006B0F07" w14:paraId="31775526" w14:textId="77777777" w:rsidTr="002476FF">
        <w:trPr>
          <w:trHeight w:val="288"/>
        </w:trPr>
        <w:tc>
          <w:tcPr>
            <w:tcW w:w="123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839A9AE"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1</w:t>
            </w:r>
          </w:p>
        </w:tc>
        <w:tc>
          <w:tcPr>
            <w:tcW w:w="1821" w:type="dxa"/>
            <w:tcBorders>
              <w:top w:val="nil"/>
              <w:left w:val="nil"/>
              <w:bottom w:val="single" w:sz="4" w:space="0" w:color="auto"/>
              <w:right w:val="nil"/>
            </w:tcBorders>
            <w:shd w:val="clear" w:color="auto" w:fill="auto"/>
            <w:vAlign w:val="center"/>
          </w:tcPr>
          <w:p w14:paraId="372F5D07"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-123.949</w:t>
            </w:r>
          </w:p>
        </w:tc>
        <w:tc>
          <w:tcPr>
            <w:tcW w:w="136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F10AB6A"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8</w:t>
            </w:r>
          </w:p>
        </w:tc>
        <w:tc>
          <w:tcPr>
            <w:tcW w:w="166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D8CBB21"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5.710</w:t>
            </w:r>
          </w:p>
        </w:tc>
        <w:tc>
          <w:tcPr>
            <w:tcW w:w="16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AF3AE9E"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0.013</w:t>
            </w:r>
          </w:p>
        </w:tc>
        <w:tc>
          <w:tcPr>
            <w:tcW w:w="197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17E9DC5" w14:textId="77777777" w:rsidR="001740D4" w:rsidRPr="006B0F07" w:rsidRDefault="001740D4" w:rsidP="00B16AD6">
            <w:pPr>
              <w:keepNext/>
              <w:keepLines/>
              <w:jc w:val="center"/>
              <w:rPr>
                <w:rFonts w:eastAsia="Times New Roman" w:cs="Times New Roman"/>
                <w:color w:val="000000"/>
              </w:rPr>
            </w:pPr>
            <w:r w:rsidRPr="006B0F07">
              <w:rPr>
                <w:rFonts w:eastAsia="Times New Roman" w:cs="Times New Roman"/>
                <w:color w:val="000000"/>
              </w:rPr>
              <w:t>1.000</w:t>
            </w:r>
          </w:p>
        </w:tc>
      </w:tr>
    </w:tbl>
    <w:p w14:paraId="620A8885" w14:textId="77777777" w:rsidR="001740D4" w:rsidRDefault="001740D4" w:rsidP="001740D4"/>
    <w:p w14:paraId="3FA485D2" w14:textId="77777777" w:rsidR="00E227EE" w:rsidRDefault="00E227EE" w:rsidP="00E227EE">
      <w:pPr>
        <w:keepNext/>
        <w:jc w:val="center"/>
      </w:pPr>
      <w:r>
        <w:rPr>
          <w:noProof/>
        </w:rPr>
        <w:drawing>
          <wp:inline distT="0" distB="0" distL="0" distR="0" wp14:anchorId="773645F6" wp14:editId="7F7AF183">
            <wp:extent cx="5664200" cy="29167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65334" cy="2917299"/>
                    </a:xfrm>
                    <a:prstGeom prst="rect">
                      <a:avLst/>
                    </a:prstGeom>
                    <a:noFill/>
                    <a:ln>
                      <a:noFill/>
                    </a:ln>
                  </pic:spPr>
                </pic:pic>
              </a:graphicData>
            </a:graphic>
          </wp:inline>
        </w:drawing>
      </w:r>
    </w:p>
    <w:p w14:paraId="66E582C8" w14:textId="239FA1C3" w:rsidR="00E227EE" w:rsidRPr="00E227EE" w:rsidRDefault="002126A3" w:rsidP="002126A3">
      <w:pPr>
        <w:rPr>
          <w:rFonts w:cs="Times New Roman"/>
        </w:rPr>
      </w:pPr>
      <w:r w:rsidRPr="00E227EE">
        <w:rPr>
          <w:rFonts w:cs="Times New Roman"/>
        </w:rPr>
        <w:t>Fig</w:t>
      </w:r>
      <w:r>
        <w:rPr>
          <w:rFonts w:cs="Times New Roman"/>
        </w:rPr>
        <w:t>.</w:t>
      </w:r>
      <w:r w:rsidRPr="00E227EE">
        <w:rPr>
          <w:rFonts w:cs="Times New Roman"/>
        </w:rPr>
        <w:t xml:space="preserve"> </w:t>
      </w:r>
      <w:r w:rsidR="00E227EE" w:rsidRPr="00E227EE">
        <w:rPr>
          <w:rFonts w:cs="Times New Roman"/>
        </w:rPr>
        <w:t xml:space="preserve">S </w:t>
      </w:r>
      <w:r w:rsidR="00E227EE" w:rsidRPr="00AB13A2">
        <w:rPr>
          <w:rFonts w:cs="Times New Roman"/>
          <w:u w:val="single"/>
        </w:rPr>
        <w:fldChar w:fldCharType="begin"/>
      </w:r>
      <w:r w:rsidR="00E227EE" w:rsidRPr="00AB13A2">
        <w:rPr>
          <w:rFonts w:cs="Times New Roman"/>
          <w:u w:val="single"/>
        </w:rPr>
        <w:instrText xml:space="preserve"> SEQ Figure_S \* ARABIC </w:instrText>
      </w:r>
      <w:r w:rsidR="00E227EE" w:rsidRPr="00AB13A2">
        <w:rPr>
          <w:rFonts w:cs="Times New Roman"/>
          <w:u w:val="single"/>
        </w:rPr>
        <w:fldChar w:fldCharType="separate"/>
      </w:r>
      <w:r w:rsidR="001D280A">
        <w:rPr>
          <w:rFonts w:cs="Times New Roman"/>
          <w:noProof/>
          <w:u w:val="single"/>
        </w:rPr>
        <w:t>12</w:t>
      </w:r>
      <w:r w:rsidR="00E227EE" w:rsidRPr="00AB13A2">
        <w:rPr>
          <w:rFonts w:cs="Times New Roman"/>
          <w:u w:val="single"/>
        </w:rPr>
        <w:fldChar w:fldCharType="end"/>
      </w:r>
      <w:r w:rsidR="00E227EE" w:rsidRPr="00E227EE">
        <w:rPr>
          <w:rFonts w:cs="Times New Roman"/>
        </w:rPr>
        <w:t xml:space="preserve">. Results of emamectin benzoate (EMB) resistance assays reported in Saksida </w:t>
      </w:r>
      <w:r w:rsidR="00E227EE" w:rsidRPr="00E227EE">
        <w:rPr>
          <w:rFonts w:cs="Times New Roman"/>
          <w:i/>
        </w:rPr>
        <w:t>et al.</w:t>
      </w:r>
      <w:r w:rsidR="00E227EE" w:rsidRPr="00E227EE">
        <w:rPr>
          <w:rFonts w:cs="Times New Roman"/>
        </w:rPr>
        <w:t xml:space="preserve"> </w:t>
      </w:r>
      <w:r w:rsidR="00E227EE" w:rsidRPr="00E227EE">
        <w:rPr>
          <w:rFonts w:cs="Times New Roman"/>
        </w:rPr>
        <w:fldChar w:fldCharType="begin" w:fldLock="1"/>
      </w:r>
      <w:r w:rsidR="00892A65">
        <w:rPr>
          <w:rFonts w:cs="Times New Roman"/>
        </w:rPr>
        <w:instrText>ADDIN CSL_CITATION { "citationItems" : [ { "id" : "ITEM-1", "itemData" : { "ISBN" : "0140-7775", "ISSN" : "01407775", "PMID" : "23106395", "author" : [ { "dropping-particle" : "", "family" : "Saksida", "given" : "S. M.", "non-dropping-particle" : "", "parse-names" : false, "suffix" : "" }, { "dropping-particle" : "", "family" : "Morrison", "given" : "D.", "non-dropping-particle" : "", "parse-names" : false, "suffix" : "" }, { "dropping-particle" : "", "family" : "Mckenzie", "given" : "P.", "non-dropping-particle" : "", "parse-names" : false, "suffix" : "" }, { "dropping-particle" : "", "family" : "Milligan", "given" : "B.", "non-dropping-particle" : "", "parse-names" : false, "suffix" : "" }, { "dropping-particle" : "", "family" : "Downey", "given" : "E.", "non-dropping-particle" : "", "parse-names" : false, "suffix" : "" }, { "dropping-particle" : "", "family" : "Boyce", "given" : "B.", "non-dropping-particle" : "", "parse-names" : false, "suffix" : "" }, { "dropping-particle" : "", "family" : "Eaves", "given" : "A.", "non-dropping-particle" : "", "parse-names" : false, "suffix" : "" } ], "container-title" : "Journal of Fish Diseases", "id" : "ITEM-1", "issue" : "5", "issued" : { "date-parts" : [ [ "2013" ] ] }, "page" : "515-520", "title" : "Use of Atlantic salmon, Salmo salar L., farm treatment data and bioassays to assess for resistance of sea lice, Lepeophtheirus salmonis, to emamectin benzoate (SLICE\u00ae) in British Columbia, Canada", "type" : "article-journal", "volume" : "36" }, "uris" : [ "http://www.mendeley.com/documents/?uuid=6c23568e-daa5-4d7e-9cd9-18b15f8acf5b" ] } ], "mendeley" : { "formattedCitation" : "(Saksida et al. 2013)", "manualFormatting" : "(2013)", "plainTextFormattedCitation" : "(Saksida et al. 2013)", "previouslyFormattedCitation" : "(Saksida et al. 2013)" }, "properties" : { "noteIndex" : 0 }, "schema" : "https://github.com/citation-style-language/schema/raw/master/csl-citation.json" }</w:instrText>
      </w:r>
      <w:r w:rsidR="00E227EE" w:rsidRPr="00E227EE">
        <w:rPr>
          <w:rFonts w:cs="Times New Roman"/>
        </w:rPr>
        <w:fldChar w:fldCharType="separate"/>
      </w:r>
      <w:r w:rsidR="00E227EE" w:rsidRPr="00E227EE">
        <w:rPr>
          <w:rFonts w:cs="Times New Roman"/>
          <w:noProof/>
        </w:rPr>
        <w:t>(2013)</w:t>
      </w:r>
      <w:r w:rsidR="00E227EE" w:rsidRPr="00E227EE">
        <w:rPr>
          <w:rFonts w:cs="Times New Roman"/>
        </w:rPr>
        <w:fldChar w:fldCharType="end"/>
      </w:r>
      <w:r w:rsidR="00E227EE" w:rsidRPr="00E227EE">
        <w:rPr>
          <w:rFonts w:cs="Times New Roman"/>
        </w:rPr>
        <w:t xml:space="preserve"> and this study.  Shown are effective concentrations of EMB at which survival of sea lice was 50% (EC</w:t>
      </w:r>
      <w:r w:rsidR="00E227EE" w:rsidRPr="00E227EE">
        <w:rPr>
          <w:rFonts w:cs="Times New Roman"/>
          <w:vertAlign w:val="subscript"/>
        </w:rPr>
        <w:t>50</w:t>
      </w:r>
      <w:r w:rsidR="00E227EE" w:rsidRPr="00E227EE">
        <w:rPr>
          <w:rFonts w:cs="Times New Roman"/>
        </w:rPr>
        <w:t xml:space="preserve">), as estimated from bioassays using pre-adult male (blue) and female (red) </w:t>
      </w:r>
      <w:r w:rsidR="00E227EE" w:rsidRPr="00E227EE">
        <w:rPr>
          <w:rFonts w:cs="Times New Roman"/>
          <w:i/>
        </w:rPr>
        <w:t>L. salmonis</w:t>
      </w:r>
      <w:r w:rsidR="00E227EE" w:rsidRPr="00E227EE">
        <w:rPr>
          <w:rFonts w:cs="Times New Roman"/>
        </w:rPr>
        <w:t>.</w:t>
      </w:r>
    </w:p>
    <w:p w14:paraId="48E049AC" w14:textId="4DEBB758" w:rsidR="00E227EE" w:rsidRDefault="00E227EE" w:rsidP="00E227EE">
      <w:pPr>
        <w:pStyle w:val="Caption"/>
        <w:jc w:val="center"/>
      </w:pPr>
    </w:p>
    <w:p w14:paraId="60B63370" w14:textId="77777777" w:rsidR="00E227EE" w:rsidRDefault="00E227EE" w:rsidP="00E227EE">
      <w:pPr>
        <w:pStyle w:val="Heading2"/>
        <w:ind w:left="0" w:firstLine="0"/>
      </w:pPr>
    </w:p>
    <w:p w14:paraId="6D43D47E" w14:textId="3A0C83EA" w:rsidR="00B16AD6" w:rsidRDefault="00B16AD6" w:rsidP="00B16AD6">
      <w:pPr>
        <w:pStyle w:val="Heading2"/>
      </w:pPr>
      <w:r>
        <w:t>Temperature</w:t>
      </w:r>
    </w:p>
    <w:p w14:paraId="6A56FF01" w14:textId="77777777" w:rsidR="00B16AD6" w:rsidRDefault="00B16AD6" w:rsidP="00B16AD6">
      <w:pPr>
        <w:keepNext/>
      </w:pPr>
      <w:r>
        <w:rPr>
          <w:noProof/>
        </w:rPr>
        <w:drawing>
          <wp:inline distT="0" distB="0" distL="0" distR="0" wp14:anchorId="460BA87C" wp14:editId="45BF9D01">
            <wp:extent cx="54864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 Island SI Fig.pdf"/>
                    <pic:cNvPicPr/>
                  </pic:nvPicPr>
                  <pic:blipFill>
                    <a:blip r:embed="rId24">
                      <a:extLst>
                        <a:ext uri="{28A0092B-C50C-407E-A947-70E740481C1C}">
                          <a14:useLocalDpi xmlns:a14="http://schemas.microsoft.com/office/drawing/2010/main" val="0"/>
                        </a:ext>
                      </a:extLst>
                    </a:blip>
                    <a:stretch>
                      <a:fillRect/>
                    </a:stretch>
                  </pic:blipFill>
                  <pic:spPr>
                    <a:xfrm>
                      <a:off x="0" y="0"/>
                      <a:ext cx="5486400" cy="4572000"/>
                    </a:xfrm>
                    <a:prstGeom prst="rect">
                      <a:avLst/>
                    </a:prstGeom>
                  </pic:spPr>
                </pic:pic>
              </a:graphicData>
            </a:graphic>
          </wp:inline>
        </w:drawing>
      </w:r>
    </w:p>
    <w:p w14:paraId="5E3BDFFB" w14:textId="3D80A57C" w:rsidR="00B16AD6" w:rsidRPr="00B16AD6" w:rsidRDefault="0006181C" w:rsidP="002126A3">
      <w:pPr>
        <w:pStyle w:val="Caption"/>
        <w:spacing w:line="240" w:lineRule="auto"/>
      </w:pPr>
      <w:r>
        <w:t xml:space="preserve">Fig. </w:t>
      </w:r>
      <w:r w:rsidR="00B16AD6">
        <w:t xml:space="preserve">S </w:t>
      </w:r>
      <w:fldSimple w:instr=" SEQ Figure_S \* ARABIC ">
        <w:r w:rsidR="001D280A">
          <w:rPr>
            <w:noProof/>
          </w:rPr>
          <w:t>13</w:t>
        </w:r>
      </w:fldSimple>
      <w:r w:rsidR="00B16AD6">
        <w:t>.</w:t>
      </w:r>
      <w:r w:rsidR="00B16AD6" w:rsidRPr="00B16AD6">
        <w:t xml:space="preserve"> </w:t>
      </w:r>
      <w:r w:rsidR="00B16AD6">
        <w:t>a) Location map showing the region of the map from Fig. 3 in the main text and the location of BC lighthouses from which we obtained sea surface temperatures</w:t>
      </w:r>
      <w:r w:rsidR="0011790C">
        <w:t xml:space="preserve"> </w:t>
      </w:r>
      <w:r w:rsidR="0011790C">
        <w:fldChar w:fldCharType="begin" w:fldLock="1"/>
      </w:r>
      <w:r w:rsidR="00892A65">
        <w:instrText>ADDIN CSL_CITATION { "citationItems" : [ { "id" : "ITEM-1", "itemData" : { "author" : [ { "dropping-particle" : "", "family" : "Fisheries and Oceans Canada", "given" : "", "non-dropping-particle" : "", "parse-names" : false, "suffix" : "" } ], "id" : "ITEM-1", "issued" : { "date-parts" : [ [ "2015" ] ] }, "title" : "Data from BC Lighthouses [online]. Available from http://www.pac.dfo-mpo.gc.ca/science/oceans/data-donnees/lighthouses-phares/index-eng.html [accessed 5 August 2015]", "type" : "webpage" }, "uris" : [ "http://www.mendeley.com/documents/?uuid=65ebfa98-28c6-4556-9096-f41142e73a43" ] } ], "mendeley" : { "formattedCitation" : "(Fisheries and Oceans Canada 2015)", "plainTextFormattedCitation" : "(Fisheries and Oceans Canada 2015)", "previouslyFormattedCitation" : "(Fisheries and Oceans Canada 2015)" }, "properties" : { "noteIndex" : 0 }, "schema" : "https://github.com/citation-style-language/schema/raw/master/csl-citation.json" }</w:instrText>
      </w:r>
      <w:r w:rsidR="0011790C">
        <w:fldChar w:fldCharType="separate"/>
      </w:r>
      <w:r w:rsidR="0011790C" w:rsidRPr="0011790C">
        <w:rPr>
          <w:noProof/>
        </w:rPr>
        <w:t>(Fisheries and Oceans Canada 2015)</w:t>
      </w:r>
      <w:r w:rsidR="0011790C">
        <w:fldChar w:fldCharType="end"/>
      </w:r>
      <w:r w:rsidR="00B16AD6">
        <w:t>, b) predictions versus observations of linear regression used to predict deviations in sea surface temperature at Pine Island, using data at the other three locations, and c) the actual (solid grey) and predicted (dotted) time series at Pine Island lighthouse, depicted as normalized deviations from the mean.</w:t>
      </w:r>
    </w:p>
    <w:p w14:paraId="4D9107A1" w14:textId="77777777" w:rsidR="001740D4" w:rsidRPr="001740D4" w:rsidRDefault="001740D4" w:rsidP="001740D4"/>
    <w:p w14:paraId="40A1B7B9" w14:textId="6A14432C" w:rsidR="001740D4" w:rsidRDefault="00C41D51" w:rsidP="00C41D51">
      <w:pPr>
        <w:pStyle w:val="Heading2"/>
        <w:pageBreakBefore/>
        <w:ind w:left="578" w:hanging="578"/>
      </w:pPr>
      <w:r>
        <w:lastRenderedPageBreak/>
        <w:t>Comparison to Marine Harvest (2015) study</w:t>
      </w:r>
    </w:p>
    <w:p w14:paraId="71A94D46" w14:textId="0BFADBE6" w:rsidR="00C50C1A" w:rsidRDefault="00C50C1A" w:rsidP="00C50C1A">
      <w:pPr>
        <w:spacing w:line="480" w:lineRule="auto"/>
        <w:ind w:firstLine="578"/>
      </w:pPr>
      <w:r>
        <w:t>A study commissioned by Marine Harvest Canada</w:t>
      </w:r>
      <w:r>
        <w:rPr>
          <w:rStyle w:val="FootnoteReference"/>
        </w:rPr>
        <w:footnoteReference w:id="1"/>
      </w:r>
      <w:r w:rsidRPr="00C50C1A">
        <w:t xml:space="preserve"> sa</w:t>
      </w:r>
      <w:r>
        <w:t>mpled juvenile pink and/or chum salmon* from nine sites throughout the Broughton (</w:t>
      </w:r>
      <w:r w:rsidR="00FB059B">
        <w:fldChar w:fldCharType="begin"/>
      </w:r>
      <w:r w:rsidR="00FB059B">
        <w:instrText xml:space="preserve"> REF _Ref317857420 \h </w:instrText>
      </w:r>
      <w:r w:rsidR="00FB059B">
        <w:fldChar w:fldCharType="separate"/>
      </w:r>
      <w:r w:rsidR="00F43D4D">
        <w:t xml:space="preserve">Fig. S </w:t>
      </w:r>
      <w:r w:rsidR="00F43D4D">
        <w:rPr>
          <w:noProof/>
        </w:rPr>
        <w:t>14</w:t>
      </w:r>
      <w:r w:rsidR="00FB059B">
        <w:fldChar w:fldCharType="end"/>
      </w:r>
      <w:r w:rsidR="00FB059B">
        <w:t xml:space="preserve"> </w:t>
      </w:r>
      <w:r>
        <w:t>top; yellow points), three of which were near our sites that we visited two days later (</w:t>
      </w:r>
      <w:r w:rsidR="00FB059B">
        <w:fldChar w:fldCharType="begin"/>
      </w:r>
      <w:r w:rsidR="00FB059B">
        <w:instrText xml:space="preserve"> REF _Ref317857420 \h </w:instrText>
      </w:r>
      <w:r w:rsidR="00FB059B">
        <w:fldChar w:fldCharType="separate"/>
      </w:r>
      <w:r w:rsidR="00F43D4D">
        <w:t xml:space="preserve">Fig. S </w:t>
      </w:r>
      <w:r w:rsidR="00F43D4D">
        <w:rPr>
          <w:noProof/>
        </w:rPr>
        <w:t>14</w:t>
      </w:r>
      <w:r w:rsidR="00FB059B">
        <w:fldChar w:fldCharType="end"/>
      </w:r>
      <w:r w:rsidR="00FB059B">
        <w:t xml:space="preserve"> top; </w:t>
      </w:r>
      <w:r>
        <w:t>blue points). Marine Harvest reported that 26.1% of juvenile salmon sampled in the Broughton in June were infected with sea lice of any stage</w:t>
      </w:r>
      <w:r w:rsidRPr="00FB059B">
        <w:rPr>
          <w:i/>
        </w:rPr>
        <w:t>, L. salmonis</w:t>
      </w:r>
      <w:r>
        <w:t xml:space="preserve"> or </w:t>
      </w:r>
      <w:r w:rsidRPr="00FB059B">
        <w:rPr>
          <w:i/>
        </w:rPr>
        <w:t>Caligus</w:t>
      </w:r>
      <w:r>
        <w:t xml:space="preserve"> spp.. Our study found much higher prevalence - 50.9% - during the same week. However, closer examination of their data show</w:t>
      </w:r>
      <w:r w:rsidR="005D0E39">
        <w:t>s</w:t>
      </w:r>
      <w:r>
        <w:t xml:space="preserve"> considerable spatial variability in prevalence</w:t>
      </w:r>
      <w:r w:rsidR="009F59A3">
        <w:t>, and indicates that the two studies may not be so far apart</w:t>
      </w:r>
      <w:r>
        <w:t>. Direct comparison of adjacent sampling sites (polygons A, B, and C on map</w:t>
      </w:r>
      <w:r w:rsidR="005D0E39">
        <w:t xml:space="preserve">; </w:t>
      </w:r>
      <w:r w:rsidR="005D0E39">
        <w:fldChar w:fldCharType="begin"/>
      </w:r>
      <w:r w:rsidR="005D0E39">
        <w:instrText xml:space="preserve"> REF _Ref317857420 \h </w:instrText>
      </w:r>
      <w:r w:rsidR="005D0E39">
        <w:fldChar w:fldCharType="separate"/>
      </w:r>
      <w:r w:rsidR="00F43D4D">
        <w:t xml:space="preserve">Fig. S </w:t>
      </w:r>
      <w:r w:rsidR="00F43D4D">
        <w:rPr>
          <w:noProof/>
        </w:rPr>
        <w:t>14</w:t>
      </w:r>
      <w:r w:rsidR="005D0E39">
        <w:fldChar w:fldCharType="end"/>
      </w:r>
      <w:r>
        <w:t xml:space="preserve">) from this study on June 19, 2015 and the Marine Harvest report on June 17 and 18, 2015 are more comparable. Including only those Marine Harvest sites in proximity to ours (i.e., sites 15, 18 and 21), the prevalence in the Marine Harvest study is 42.7%. </w:t>
      </w:r>
    </w:p>
    <w:p w14:paraId="63D6B1C6" w14:textId="77777777" w:rsidR="00A80553" w:rsidRDefault="00A80553" w:rsidP="00A80553">
      <w:pPr>
        <w:rPr>
          <w:b/>
        </w:rPr>
      </w:pPr>
    </w:p>
    <w:p w14:paraId="4884296A" w14:textId="77777777" w:rsidR="005D0E39" w:rsidRDefault="005D0E39" w:rsidP="00A80553">
      <w:r w:rsidRPr="00860803">
        <w:rPr>
          <w:b/>
        </w:rPr>
        <w:t>Note</w:t>
      </w:r>
      <w:r>
        <w:t>: in analyzing the Marine Harvest data from the Broughton report, we had to make several assumptions:</w:t>
      </w:r>
    </w:p>
    <w:p w14:paraId="406AA349" w14:textId="77777777" w:rsidR="005D0E39" w:rsidRDefault="00C50C1A" w:rsidP="00A80553">
      <w:pPr>
        <w:pStyle w:val="ListParagraph"/>
        <w:numPr>
          <w:ilvl w:val="0"/>
          <w:numId w:val="4"/>
        </w:numPr>
      </w:pPr>
      <w:r>
        <w:t xml:space="preserve">There were some errors in the identification of species in the Marine Harvest study, and so we pooled the data on pink and chum salmon. </w:t>
      </w:r>
    </w:p>
    <w:p w14:paraId="41F447AB" w14:textId="77777777" w:rsidR="005D0E39" w:rsidRDefault="00C50C1A" w:rsidP="00A80553">
      <w:pPr>
        <w:pStyle w:val="ListParagraph"/>
        <w:numPr>
          <w:ilvl w:val="0"/>
          <w:numId w:val="4"/>
        </w:numPr>
      </w:pPr>
      <w:r>
        <w:t xml:space="preserve">Marine Harvest sampled one coho salmon, but we excluded this here since we did not examine coho in our study. The one coho sampled did not have any lice, changing the overall prevalence in the Marine Harvest study to 25.9% if included. </w:t>
      </w:r>
    </w:p>
    <w:p w14:paraId="1DBCF9B4" w14:textId="536E4E66" w:rsidR="00C50C1A" w:rsidRPr="00C41D51" w:rsidRDefault="00C50C1A" w:rsidP="00A80553">
      <w:pPr>
        <w:pStyle w:val="ListParagraph"/>
        <w:numPr>
          <w:ilvl w:val="0"/>
          <w:numId w:val="4"/>
        </w:numPr>
      </w:pPr>
      <w:r>
        <w:t>The Marine Harvest report variably states that four fish were sampled at site 6 (Brent Bay) or that those four fish were sampled at site 7 (Shelterless Bay). We report this sample as coming from site 6 (Brent Bay).</w:t>
      </w:r>
    </w:p>
    <w:p w14:paraId="65BF2989" w14:textId="77777777" w:rsidR="00C50C1A" w:rsidRPr="00C50C1A" w:rsidRDefault="00C50C1A" w:rsidP="00C50C1A"/>
    <w:p w14:paraId="4AAEE899" w14:textId="77777777" w:rsidR="00C41D51" w:rsidRDefault="00C41D51" w:rsidP="00C41D51">
      <w:pPr>
        <w:keepNext/>
      </w:pPr>
      <w:r>
        <w:rPr>
          <w:noProof/>
        </w:rPr>
        <w:lastRenderedPageBreak/>
        <w:drawing>
          <wp:inline distT="0" distB="0" distL="0" distR="0" wp14:anchorId="0F3D774C" wp14:editId="44166591">
            <wp:extent cx="5765800"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xx.pdf"/>
                    <pic:cNvPicPr/>
                  </pic:nvPicPr>
                  <pic:blipFill>
                    <a:blip r:embed="rId25">
                      <a:extLst>
                        <a:ext uri="{28A0092B-C50C-407E-A947-70E740481C1C}">
                          <a14:useLocalDpi xmlns:a14="http://schemas.microsoft.com/office/drawing/2010/main" val="0"/>
                        </a:ext>
                      </a:extLst>
                    </a:blip>
                    <a:stretch>
                      <a:fillRect/>
                    </a:stretch>
                  </pic:blipFill>
                  <pic:spPr>
                    <a:xfrm>
                      <a:off x="0" y="0"/>
                      <a:ext cx="5765800" cy="5765800"/>
                    </a:xfrm>
                    <a:prstGeom prst="rect">
                      <a:avLst/>
                    </a:prstGeom>
                  </pic:spPr>
                </pic:pic>
              </a:graphicData>
            </a:graphic>
          </wp:inline>
        </w:drawing>
      </w:r>
    </w:p>
    <w:p w14:paraId="451FA546" w14:textId="36395D30" w:rsidR="00C41D51" w:rsidRPr="00C41D51" w:rsidRDefault="00C41D51" w:rsidP="00C50C1A">
      <w:pPr>
        <w:widowControl w:val="0"/>
        <w:autoSpaceDE w:val="0"/>
        <w:autoSpaceDN w:val="0"/>
        <w:adjustRightInd w:val="0"/>
      </w:pPr>
      <w:bookmarkStart w:id="18" w:name="_Ref317857420"/>
      <w:bookmarkStart w:id="19" w:name="_Ref317857439"/>
      <w:r>
        <w:t xml:space="preserve">Fig. S </w:t>
      </w:r>
      <w:fldSimple w:instr=" SEQ Figure_S \* ARABIC ">
        <w:r w:rsidR="001D280A">
          <w:rPr>
            <w:noProof/>
          </w:rPr>
          <w:t>14</w:t>
        </w:r>
      </w:fldSimple>
      <w:bookmarkEnd w:id="18"/>
      <w:r w:rsidR="00FB059B">
        <w:t>.</w:t>
      </w:r>
      <w:bookmarkEnd w:id="19"/>
      <w:r w:rsidR="00FB059B">
        <w:t xml:space="preserve"> Top: A map showing the sample sites in the Marine Harvest study in yellow and this study in blue. </w:t>
      </w:r>
      <w:r w:rsidR="005D0E39">
        <w:t xml:space="preserve">Areas A, B, and C show where there are corresponding sites from the two studies. </w:t>
      </w:r>
      <w:r w:rsidR="00FB059B">
        <w:t>Bottom: The prevalence of sea lice at sample sites from Marine Harvest on June 17 and 18 (yellow) and this study on June 19, 2105 (blue).</w:t>
      </w:r>
      <w:r w:rsidR="005D0E39">
        <w:t xml:space="preserve"> The horizontal dotted yellow line indicates the overall prevalence of sea lice from the Marine Harvest study (26.1%), the horizontal dashed yellow line indicates the prevalence for only those sites from the Marine Harvest study that are in spatial proximity to our sites (i.e., sites 15, 18 and 21; 42.7%) and the horizontal dashed blue line indicates the prevalence on June 19, 2015 at our three sites (50.9%). </w:t>
      </w:r>
      <w:r w:rsidR="00FB059B">
        <w:t>Numbers on top of the bars are the number of fish sampled at that site.</w:t>
      </w:r>
    </w:p>
    <w:p w14:paraId="3F29E272" w14:textId="47F23287" w:rsidR="00F02466" w:rsidRPr="00265C68" w:rsidRDefault="00F02466" w:rsidP="00007E77">
      <w:pPr>
        <w:pStyle w:val="Heading1"/>
        <w:pageBreakBefore/>
        <w:rPr>
          <w:color w:val="auto"/>
        </w:rPr>
      </w:pPr>
      <w:r w:rsidRPr="00265C68">
        <w:rPr>
          <w:color w:val="auto"/>
        </w:rPr>
        <w:lastRenderedPageBreak/>
        <w:t>Literature cited</w:t>
      </w:r>
    </w:p>
    <w:p w14:paraId="398361CB" w14:textId="77777777" w:rsidR="003A769A" w:rsidRPr="003A769A" w:rsidRDefault="003A769A" w:rsidP="003A769A"/>
    <w:p w14:paraId="4D876A2B" w14:textId="6A662F03" w:rsidR="00185B34" w:rsidRPr="00185B34" w:rsidRDefault="00F02466" w:rsidP="00185B34">
      <w:pPr>
        <w:widowControl w:val="0"/>
        <w:autoSpaceDE w:val="0"/>
        <w:autoSpaceDN w:val="0"/>
        <w:adjustRightInd w:val="0"/>
        <w:spacing w:after="140"/>
        <w:ind w:left="480" w:hanging="480"/>
        <w:rPr>
          <w:rFonts w:cs="Times New Roman"/>
          <w:noProof/>
        </w:rPr>
      </w:pPr>
      <w:r>
        <w:fldChar w:fldCharType="begin" w:fldLock="1"/>
      </w:r>
      <w:r>
        <w:instrText xml:space="preserve">ADDIN Mendeley Bibliography CSL_BIBLIOGRAPHY </w:instrText>
      </w:r>
      <w:r>
        <w:fldChar w:fldCharType="separate"/>
      </w:r>
      <w:r w:rsidR="00185B34" w:rsidRPr="00185B34">
        <w:rPr>
          <w:rFonts w:cs="Times New Roman"/>
          <w:noProof/>
        </w:rPr>
        <w:t xml:space="preserve">Akaike, H. 1973. Information theory and an extension of the maximum likelihood principle. </w:t>
      </w:r>
      <w:r w:rsidR="00185B34" w:rsidRPr="00185B34">
        <w:rPr>
          <w:rFonts w:cs="Times New Roman"/>
          <w:i/>
          <w:iCs/>
          <w:noProof/>
        </w:rPr>
        <w:t>In</w:t>
      </w:r>
      <w:r w:rsidR="00185B34" w:rsidRPr="00185B34">
        <w:rPr>
          <w:rFonts w:cs="Times New Roman"/>
          <w:noProof/>
        </w:rPr>
        <w:t xml:space="preserve"> Second International Symposium on Information Theory. </w:t>
      </w:r>
      <w:r w:rsidR="00185B34" w:rsidRPr="00185B34">
        <w:rPr>
          <w:rFonts w:cs="Times New Roman"/>
          <w:i/>
          <w:iCs/>
          <w:noProof/>
        </w:rPr>
        <w:t>Edited by</w:t>
      </w:r>
      <w:r w:rsidR="00185B34" w:rsidRPr="00185B34">
        <w:rPr>
          <w:rFonts w:cs="Times New Roman"/>
          <w:noProof/>
        </w:rPr>
        <w:t xml:space="preserve"> B.N. Petrov and F. Csaki. Akadémiai Kiadó, Budapest. pp. 268–281.</w:t>
      </w:r>
    </w:p>
    <w:p w14:paraId="5F00C119"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Bates, D., Maechler, M., Bolkner, B., and Walker, S. 2014. lme4: Linear mixed-effects models using “Eigen” and S4.</w:t>
      </w:r>
    </w:p>
    <w:p w14:paraId="3AFCC5E2"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Burnham, K.P., and Anderson, D.R. 2002. Model selection and multimodel inference: a practical information-theoretic approach. Springer Verlag, New York.</w:t>
      </w:r>
    </w:p>
    <w:p w14:paraId="0E4034DD"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Fisheries and Oceans Canada. 2015. Data from BC Lighthouses [online]. Available from http://www.pac.dfo-mpo.gc.ca/science/oceans/data-donnees/lighthouses-phares/index-eng.html [accessed 5 August 2015].</w:t>
      </w:r>
    </w:p>
    <w:p w14:paraId="5038B9E2"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 xml:space="preserve">Krkošek, M., Morton, A., and Volpe, J.P. 2005. Nonlethal Assessment of Juvenile Pink and Chum Salmon for Parasitic Sea Lice Infections and Fish Health. Trans. Am. Fish. Soc. </w:t>
      </w:r>
      <w:r w:rsidRPr="00185B34">
        <w:rPr>
          <w:rFonts w:cs="Times New Roman"/>
          <w:b/>
          <w:bCs/>
          <w:noProof/>
        </w:rPr>
        <w:t>134</w:t>
      </w:r>
      <w:r w:rsidRPr="00185B34">
        <w:rPr>
          <w:rFonts w:cs="Times New Roman"/>
          <w:noProof/>
        </w:rPr>
        <w:t>(3): 711–716.</w:t>
      </w:r>
    </w:p>
    <w:p w14:paraId="2B3FE466"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Mazerolle, M.J. 2014. AICcmodavg: Model selection and multimodel inference based on (Q)AIC(c). CRAN.</w:t>
      </w:r>
    </w:p>
    <w:p w14:paraId="4D29F9F7"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 xml:space="preserve">Morton, A., Routledge, R.D., and Williams, R. 2005. Temporal Patterns of Sea Louse Infestation on Wild Pacific Salmon in Relation to the Fallowing of Atlantic Salmon Farms. North Am. J. Fish. Manag. </w:t>
      </w:r>
      <w:r w:rsidRPr="00185B34">
        <w:rPr>
          <w:rFonts w:cs="Times New Roman"/>
          <w:b/>
          <w:bCs/>
          <w:noProof/>
        </w:rPr>
        <w:t>5947</w:t>
      </w:r>
      <w:r w:rsidRPr="00185B34">
        <w:rPr>
          <w:rFonts w:cs="Times New Roman"/>
          <w:noProof/>
        </w:rPr>
        <w:t>(25): 811–821.</w:t>
      </w:r>
    </w:p>
    <w:p w14:paraId="5E675B8F"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 xml:space="preserve">Morton, A.B., and Williams, R. 2003. First Report of a Sea Louse, </w:t>
      </w:r>
      <w:r w:rsidRPr="00185B34">
        <w:rPr>
          <w:rFonts w:cs="Times New Roman"/>
          <w:i/>
          <w:iCs/>
          <w:noProof/>
        </w:rPr>
        <w:t>Lepeophtheirus salmonis</w:t>
      </w:r>
      <w:r w:rsidRPr="00185B34">
        <w:rPr>
          <w:rFonts w:cs="Times New Roman"/>
          <w:noProof/>
        </w:rPr>
        <w:t>, Infestation on Juvenile Pink Salmon,</w:t>
      </w:r>
      <w:r w:rsidRPr="00185B34">
        <w:rPr>
          <w:rFonts w:cs="Times New Roman"/>
          <w:i/>
          <w:iCs/>
          <w:noProof/>
        </w:rPr>
        <w:t>Oncorhynchus gorbuscha</w:t>
      </w:r>
      <w:r w:rsidRPr="00185B34">
        <w:rPr>
          <w:rFonts w:cs="Times New Roman"/>
          <w:noProof/>
        </w:rPr>
        <w:t xml:space="preserve">, in Nearshore Habitat. Can. Field-Naturalist </w:t>
      </w:r>
      <w:r w:rsidRPr="00185B34">
        <w:rPr>
          <w:rFonts w:cs="Times New Roman"/>
          <w:b/>
          <w:bCs/>
          <w:noProof/>
        </w:rPr>
        <w:t>117</w:t>
      </w:r>
      <w:r w:rsidRPr="00185B34">
        <w:rPr>
          <w:rFonts w:cs="Times New Roman"/>
          <w:noProof/>
        </w:rPr>
        <w:t>(4): 634–641.</w:t>
      </w:r>
    </w:p>
    <w:p w14:paraId="3E306D31"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Patanasatienkul, T., Sanchez, J., Rees, E.E., Pfeiffer, D., and Revie, C.W. 2015. Space-time cluster analysis of sea lice infestation (</w:t>
      </w:r>
      <w:r w:rsidRPr="006E18A9">
        <w:rPr>
          <w:rFonts w:cs="Times New Roman"/>
          <w:i/>
          <w:noProof/>
        </w:rPr>
        <w:t xml:space="preserve">Caligus clemensi </w:t>
      </w:r>
      <w:r w:rsidRPr="00185B34">
        <w:rPr>
          <w:rFonts w:cs="Times New Roman"/>
          <w:noProof/>
        </w:rPr>
        <w:t xml:space="preserve">and </w:t>
      </w:r>
      <w:r w:rsidRPr="006E18A9">
        <w:rPr>
          <w:rFonts w:cs="Times New Roman"/>
          <w:i/>
          <w:noProof/>
        </w:rPr>
        <w:t>Lepeophtheirus salmonis</w:t>
      </w:r>
      <w:r w:rsidRPr="00185B34">
        <w:rPr>
          <w:rFonts w:cs="Times New Roman"/>
          <w:noProof/>
        </w:rPr>
        <w:t xml:space="preserve">) on wild juvenile Pacific salmon in the Broughton Archipelago of Canada. Prev. Vet. Med. </w:t>
      </w:r>
      <w:r w:rsidRPr="00185B34">
        <w:rPr>
          <w:rFonts w:cs="Times New Roman"/>
          <w:b/>
          <w:bCs/>
          <w:noProof/>
        </w:rPr>
        <w:t>120</w:t>
      </w:r>
      <w:r w:rsidRPr="00185B34">
        <w:rPr>
          <w:rFonts w:cs="Times New Roman"/>
          <w:noProof/>
        </w:rPr>
        <w:t>(2): 219–231. Elsevier B.V.</w:t>
      </w:r>
    </w:p>
    <w:p w14:paraId="62D9CE62"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 xml:space="preserve">Peacock, S.J., Krkosek, M., Proboszcz, S., Orr, C., and Lewis, M.A. 2013. Cessation of a salmon decline with control of parasites. Ecol. Appl. </w:t>
      </w:r>
      <w:r w:rsidRPr="00185B34">
        <w:rPr>
          <w:rFonts w:cs="Times New Roman"/>
          <w:b/>
          <w:bCs/>
          <w:noProof/>
        </w:rPr>
        <w:t>23</w:t>
      </w:r>
      <w:r w:rsidRPr="00185B34">
        <w:rPr>
          <w:rFonts w:cs="Times New Roman"/>
          <w:noProof/>
        </w:rPr>
        <w:t>: 606–620.</w:t>
      </w:r>
    </w:p>
    <w:p w14:paraId="58CF80C8"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Plummer, M. 2003. JAGS: A program for analysis of Bayesian graphical models using Gibbs sampling. Proc. 3rd Int. Work. Distrib. Stat. Comput.: 1–8. Vienna, Austria.</w:t>
      </w:r>
    </w:p>
    <w:p w14:paraId="2B8C6A2D"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Plummer, M. 2011. rjags: Bayesian graphical models using MCMC.</w:t>
      </w:r>
    </w:p>
    <w:p w14:paraId="44D1FAF1"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R Development Core Team. 2015. R: a language and environment for statistical computing. R Foundation for Statistical Computing, Vienna, Austria, Austria. http://www.r-project.org/.</w:t>
      </w:r>
    </w:p>
    <w:p w14:paraId="4694CB0A" w14:textId="697F8BA0" w:rsidR="00185B34" w:rsidRPr="00185B34" w:rsidRDefault="006E18A9" w:rsidP="00185B34">
      <w:pPr>
        <w:widowControl w:val="0"/>
        <w:autoSpaceDE w:val="0"/>
        <w:autoSpaceDN w:val="0"/>
        <w:adjustRightInd w:val="0"/>
        <w:spacing w:after="140"/>
        <w:ind w:left="480" w:hanging="480"/>
        <w:rPr>
          <w:rFonts w:cs="Times New Roman"/>
          <w:noProof/>
        </w:rPr>
      </w:pPr>
      <w:r>
        <w:rPr>
          <w:rFonts w:cs="Times New Roman"/>
          <w:noProof/>
        </w:rPr>
        <w:t>Rees, E</w:t>
      </w:r>
      <w:r w:rsidRPr="00185B34">
        <w:rPr>
          <w:rFonts w:cs="Times New Roman"/>
          <w:noProof/>
        </w:rPr>
        <w:t xml:space="preserve"> </w:t>
      </w:r>
      <w:r w:rsidR="00185B34" w:rsidRPr="00185B34">
        <w:rPr>
          <w:rFonts w:cs="Times New Roman"/>
          <w:noProof/>
        </w:rPr>
        <w:t>E., St.-Hilaire, S., Jones, S.R.M</w:t>
      </w:r>
      <w:r>
        <w:rPr>
          <w:rFonts w:cs="Times New Roman"/>
          <w:noProof/>
        </w:rPr>
        <w:t>.</w:t>
      </w:r>
      <w:r w:rsidR="00185B34" w:rsidRPr="00185B34">
        <w:rPr>
          <w:rFonts w:cs="Times New Roman"/>
          <w:noProof/>
        </w:rPr>
        <w:t xml:space="preserve">, Krkosek, M., DeDominicis, S., Foreman, M.G.G., </w:t>
      </w:r>
      <w:r>
        <w:rPr>
          <w:rFonts w:cs="Times New Roman"/>
          <w:noProof/>
        </w:rPr>
        <w:t>Patanasatienkul, T., Revie, C.W</w:t>
      </w:r>
      <w:r w:rsidR="00185B34" w:rsidRPr="00185B34">
        <w:rPr>
          <w:rFonts w:cs="Times New Roman"/>
          <w:noProof/>
        </w:rPr>
        <w:t xml:space="preserve">. 2015. Spatial patterns of sea lice infection among wild and captive salmon in western Canada. Landsc. Ecol. </w:t>
      </w:r>
      <w:r w:rsidR="00185B34" w:rsidRPr="00185B34">
        <w:rPr>
          <w:rFonts w:cs="Times New Roman"/>
          <w:b/>
          <w:bCs/>
          <w:noProof/>
        </w:rPr>
        <w:t>30</w:t>
      </w:r>
      <w:r w:rsidR="00185B34" w:rsidRPr="00185B34">
        <w:rPr>
          <w:rFonts w:cs="Times New Roman"/>
          <w:noProof/>
        </w:rPr>
        <w:t>: 989–1004.</w:t>
      </w:r>
    </w:p>
    <w:p w14:paraId="553E1027"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lastRenderedPageBreak/>
        <w:t xml:space="preserve">Saksida, S.M., Morrison, D., Mckenzie, P., Milligan, B., Downey, E., Boyce, B., and Eaves, A. 2013. Use of Atlantic salmon, Salmo salar L., farm treatment data and bioassays to assess for resistance of sea lice, Lepeophtheirus salmonis, to emamectin benzoate (SLICE®) in British Columbia, Canada. J. Fish Dis. </w:t>
      </w:r>
      <w:r w:rsidRPr="00185B34">
        <w:rPr>
          <w:rFonts w:cs="Times New Roman"/>
          <w:b/>
          <w:bCs/>
          <w:noProof/>
        </w:rPr>
        <w:t>36</w:t>
      </w:r>
      <w:r w:rsidRPr="00185B34">
        <w:rPr>
          <w:rFonts w:cs="Times New Roman"/>
          <w:noProof/>
        </w:rPr>
        <w:t>(5): 515–520.</w:t>
      </w:r>
    </w:p>
    <w:p w14:paraId="48FE99FC" w14:textId="77777777" w:rsidR="00185B34" w:rsidRPr="00185B34" w:rsidRDefault="00185B34" w:rsidP="00185B34">
      <w:pPr>
        <w:widowControl w:val="0"/>
        <w:autoSpaceDE w:val="0"/>
        <w:autoSpaceDN w:val="0"/>
        <w:adjustRightInd w:val="0"/>
        <w:spacing w:after="140"/>
        <w:ind w:left="480" w:hanging="480"/>
        <w:rPr>
          <w:rFonts w:cs="Times New Roman"/>
          <w:noProof/>
        </w:rPr>
      </w:pPr>
      <w:r w:rsidRPr="00185B34">
        <w:rPr>
          <w:rFonts w:cs="Times New Roman"/>
          <w:noProof/>
        </w:rPr>
        <w:t xml:space="preserve">Westcott, J.D., Stryhn, H., Burka, J.F., and Hammell, K.L. 2008. Optimization and field use of a bioassay to monitor sea lice Lepeophtheirus salmonis sensitivity to emamectin benzoate. Dis. Aquat. Organ. </w:t>
      </w:r>
      <w:r w:rsidRPr="00185B34">
        <w:rPr>
          <w:rFonts w:cs="Times New Roman"/>
          <w:b/>
          <w:bCs/>
          <w:noProof/>
        </w:rPr>
        <w:t>79</w:t>
      </w:r>
      <w:r w:rsidRPr="00185B34">
        <w:rPr>
          <w:rFonts w:cs="Times New Roman"/>
          <w:noProof/>
        </w:rPr>
        <w:t>(2): 119–131.</w:t>
      </w:r>
    </w:p>
    <w:p w14:paraId="1D24F291" w14:textId="73C16A34" w:rsidR="009D5E0C" w:rsidRPr="00017629" w:rsidRDefault="00F02466" w:rsidP="00185B34">
      <w:pPr>
        <w:widowControl w:val="0"/>
        <w:autoSpaceDE w:val="0"/>
        <w:autoSpaceDN w:val="0"/>
        <w:adjustRightInd w:val="0"/>
        <w:spacing w:after="140"/>
        <w:ind w:left="480" w:hanging="480"/>
      </w:pPr>
      <w:r>
        <w:fldChar w:fldCharType="end"/>
      </w:r>
      <w:r w:rsidR="00860768" w:rsidRPr="00017629">
        <w:t xml:space="preserve"> </w:t>
      </w:r>
    </w:p>
    <w:sectPr w:rsidR="009D5E0C" w:rsidRPr="00017629" w:rsidSect="006B0F07">
      <w:headerReference w:type="default" r:id="rId26"/>
      <w:footerReference w:type="even" r:id="rId27"/>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13993" w14:textId="77777777" w:rsidR="007A4C39" w:rsidRDefault="007A4C39" w:rsidP="00FC3580">
      <w:r>
        <w:separator/>
      </w:r>
    </w:p>
  </w:endnote>
  <w:endnote w:type="continuationSeparator" w:id="0">
    <w:p w14:paraId="67BCB518" w14:textId="77777777" w:rsidR="007A4C39" w:rsidRDefault="007A4C39" w:rsidP="00FC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FAA59" w14:textId="77777777" w:rsidR="00D36534" w:rsidRDefault="00D36534" w:rsidP="006948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F71072" w14:textId="77777777" w:rsidR="00D36534" w:rsidRDefault="00D36534" w:rsidP="006948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64940" w14:textId="77777777" w:rsidR="00D36534" w:rsidRDefault="00D36534" w:rsidP="006948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13F5">
      <w:rPr>
        <w:rStyle w:val="PageNumber"/>
        <w:noProof/>
      </w:rPr>
      <w:t>3</w:t>
    </w:r>
    <w:r>
      <w:rPr>
        <w:rStyle w:val="PageNumber"/>
      </w:rPr>
      <w:fldChar w:fldCharType="end"/>
    </w:r>
  </w:p>
  <w:p w14:paraId="3AE4E861" w14:textId="77777777" w:rsidR="00D36534" w:rsidRDefault="00D36534" w:rsidP="006948B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3A7C5" w14:textId="77777777" w:rsidR="00D36534" w:rsidRDefault="00D36534" w:rsidP="00FC35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1D1D59" w14:textId="77777777" w:rsidR="00D36534" w:rsidRDefault="00D36534" w:rsidP="00FC3580">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82DEB" w14:textId="77777777" w:rsidR="00D36534" w:rsidRPr="002654DD" w:rsidRDefault="00D36534" w:rsidP="00FC3580">
    <w:pPr>
      <w:pStyle w:val="Footer"/>
      <w:framePr w:wrap="around" w:vAnchor="text" w:hAnchor="margin" w:xAlign="right" w:y="1"/>
      <w:rPr>
        <w:rStyle w:val="PageNumber"/>
      </w:rPr>
    </w:pPr>
    <w:r w:rsidRPr="002654DD">
      <w:rPr>
        <w:rStyle w:val="PageNumber"/>
      </w:rPr>
      <w:fldChar w:fldCharType="begin"/>
    </w:r>
    <w:r w:rsidRPr="002654DD">
      <w:rPr>
        <w:rStyle w:val="PageNumber"/>
      </w:rPr>
      <w:instrText xml:space="preserve">PAGE  </w:instrText>
    </w:r>
    <w:r w:rsidRPr="002654DD">
      <w:rPr>
        <w:rStyle w:val="PageNumber"/>
      </w:rPr>
      <w:fldChar w:fldCharType="separate"/>
    </w:r>
    <w:r w:rsidR="00C113F5">
      <w:rPr>
        <w:rStyle w:val="PageNumber"/>
        <w:noProof/>
      </w:rPr>
      <w:t>19</w:t>
    </w:r>
    <w:r w:rsidRPr="002654DD">
      <w:rPr>
        <w:rStyle w:val="PageNumber"/>
      </w:rPr>
      <w:fldChar w:fldCharType="end"/>
    </w:r>
  </w:p>
  <w:p w14:paraId="740469C6" w14:textId="77777777" w:rsidR="00D36534" w:rsidRPr="002654DD" w:rsidRDefault="00D36534" w:rsidP="00FC358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ECFAD" w14:textId="77777777" w:rsidR="007A4C39" w:rsidRDefault="007A4C39" w:rsidP="00FC3580">
      <w:r>
        <w:separator/>
      </w:r>
    </w:p>
  </w:footnote>
  <w:footnote w:type="continuationSeparator" w:id="0">
    <w:p w14:paraId="0261B657" w14:textId="77777777" w:rsidR="007A4C39" w:rsidRDefault="007A4C39" w:rsidP="00FC3580">
      <w:r>
        <w:continuationSeparator/>
      </w:r>
    </w:p>
  </w:footnote>
  <w:footnote w:id="1">
    <w:p w14:paraId="4C5625C4" w14:textId="2FD7A8F2" w:rsidR="00D36534" w:rsidRPr="00C50C1A" w:rsidRDefault="00D36534">
      <w:pPr>
        <w:pStyle w:val="FootnoteText"/>
      </w:pPr>
      <w:r>
        <w:rPr>
          <w:rStyle w:val="FootnoteReference"/>
        </w:rPr>
        <w:footnoteRef/>
      </w:r>
      <w:r>
        <w:t xml:space="preserve"> The report is available at </w:t>
      </w:r>
      <w:r w:rsidRPr="00C50C1A">
        <w:t>see http://bcsalmonfarmers.ca/bc-salmon-farmers-association-2016-sea-lice-report/</w:t>
      </w:r>
      <w:r>
        <w:t xml:space="preserve">. The specific Broughton report and associated data are </w:t>
      </w:r>
      <w:r w:rsidRPr="00C50C1A">
        <w:t>posted at http://marineharvest.ca/globalassets/canada/pdf/asc-dashboard-2016/broughton-archipelago-sea-lice-2015.pdf</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5687A" w14:textId="4C11D2D6" w:rsidR="00D36534" w:rsidRPr="0031006A" w:rsidRDefault="00D36534" w:rsidP="0031006A">
    <w:pPr>
      <w:pStyle w:val="Header"/>
      <w:tabs>
        <w:tab w:val="clear" w:pos="8640"/>
        <w:tab w:val="left" w:pos="6946"/>
      </w:tabs>
    </w:pPr>
    <w:r>
      <w:t xml:space="preserve">Bateman </w:t>
    </w:r>
    <w:r w:rsidRPr="0031006A">
      <w:rPr>
        <w:i/>
      </w:rPr>
      <w:t>et al.</w:t>
    </w:r>
    <w:r>
      <w:t xml:space="preserve"> </w:t>
    </w:r>
    <w:r>
      <w:tab/>
      <w:t xml:space="preserve">Broughton sea-louse outbreak, 2015 </w:t>
    </w:r>
    <w:r>
      <w:tab/>
    </w:r>
    <w:r>
      <w:rPr>
        <w:b/>
      </w:rPr>
      <w:t>Online supplement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D77A9" w14:textId="731ABEBA" w:rsidR="00D36534" w:rsidRPr="00FC3580" w:rsidRDefault="00D36534" w:rsidP="00FC3580">
    <w:pPr>
      <w:pStyle w:val="Header"/>
      <w:tabs>
        <w:tab w:val="left" w:pos="6840"/>
      </w:tabs>
    </w:pPr>
    <w:r>
      <w:t>Supplemental</w:t>
    </w:r>
    <w:r w:rsidRPr="00FC3580">
      <w:t xml:space="preserve"> methods and results</w:t>
    </w:r>
    <w:r w:rsidRPr="00FC3580">
      <w:tab/>
    </w:r>
    <w:r w:rsidRPr="00FC3580">
      <w:tab/>
    </w:r>
    <w:r w:rsidRPr="00FC3580">
      <w:tab/>
      <w:t xml:space="preserve">Bateman </w:t>
    </w:r>
    <w:r w:rsidRPr="0014622D">
      <w:rPr>
        <w:i/>
      </w:rPr>
      <w:t>et al.</w:t>
    </w:r>
    <w:r w:rsidRPr="00FC3580">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2418"/>
    <w:multiLevelType w:val="hybridMultilevel"/>
    <w:tmpl w:val="E4DA0980"/>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
    <w:nsid w:val="131538BF"/>
    <w:multiLevelType w:val="hybridMultilevel"/>
    <w:tmpl w:val="A79C7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B6130C"/>
    <w:multiLevelType w:val="hybridMultilevel"/>
    <w:tmpl w:val="A79C7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C5506D"/>
    <w:multiLevelType w:val="multilevel"/>
    <w:tmpl w:val="04090025"/>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629"/>
    <w:rsid w:val="00007E77"/>
    <w:rsid w:val="00017629"/>
    <w:rsid w:val="00021A1F"/>
    <w:rsid w:val="00042F7A"/>
    <w:rsid w:val="00046502"/>
    <w:rsid w:val="000538F9"/>
    <w:rsid w:val="0006181C"/>
    <w:rsid w:val="000A2D6F"/>
    <w:rsid w:val="000C0E9C"/>
    <w:rsid w:val="000D6818"/>
    <w:rsid w:val="000E2A41"/>
    <w:rsid w:val="00111882"/>
    <w:rsid w:val="0011790C"/>
    <w:rsid w:val="0012343D"/>
    <w:rsid w:val="0014622D"/>
    <w:rsid w:val="001653D0"/>
    <w:rsid w:val="00166A58"/>
    <w:rsid w:val="00170048"/>
    <w:rsid w:val="00172857"/>
    <w:rsid w:val="001740D4"/>
    <w:rsid w:val="00185B34"/>
    <w:rsid w:val="001D280A"/>
    <w:rsid w:val="001D5BA1"/>
    <w:rsid w:val="001E3A4F"/>
    <w:rsid w:val="00204249"/>
    <w:rsid w:val="002126A3"/>
    <w:rsid w:val="00222554"/>
    <w:rsid w:val="002415F1"/>
    <w:rsid w:val="002476FF"/>
    <w:rsid w:val="0025674B"/>
    <w:rsid w:val="00263A5F"/>
    <w:rsid w:val="002654DD"/>
    <w:rsid w:val="00265C68"/>
    <w:rsid w:val="002727FB"/>
    <w:rsid w:val="0028265B"/>
    <w:rsid w:val="0028612E"/>
    <w:rsid w:val="00290224"/>
    <w:rsid w:val="002913DC"/>
    <w:rsid w:val="002B785A"/>
    <w:rsid w:val="002C1ADA"/>
    <w:rsid w:val="0031006A"/>
    <w:rsid w:val="0032717B"/>
    <w:rsid w:val="003401C8"/>
    <w:rsid w:val="00347416"/>
    <w:rsid w:val="00355E07"/>
    <w:rsid w:val="00361903"/>
    <w:rsid w:val="00362EEB"/>
    <w:rsid w:val="00373831"/>
    <w:rsid w:val="00381DC5"/>
    <w:rsid w:val="00381EFD"/>
    <w:rsid w:val="00393C49"/>
    <w:rsid w:val="00393E49"/>
    <w:rsid w:val="003A56B9"/>
    <w:rsid w:val="003A67BA"/>
    <w:rsid w:val="003A769A"/>
    <w:rsid w:val="003F0A83"/>
    <w:rsid w:val="003F1F74"/>
    <w:rsid w:val="00406AD5"/>
    <w:rsid w:val="00406C45"/>
    <w:rsid w:val="00417F17"/>
    <w:rsid w:val="00462E74"/>
    <w:rsid w:val="004649D4"/>
    <w:rsid w:val="004873C0"/>
    <w:rsid w:val="004E5931"/>
    <w:rsid w:val="004F1F24"/>
    <w:rsid w:val="004F2FF5"/>
    <w:rsid w:val="00506546"/>
    <w:rsid w:val="00582E98"/>
    <w:rsid w:val="005C29DC"/>
    <w:rsid w:val="005C3F38"/>
    <w:rsid w:val="005C6E9C"/>
    <w:rsid w:val="005D0E39"/>
    <w:rsid w:val="005E4924"/>
    <w:rsid w:val="005F7185"/>
    <w:rsid w:val="006377A4"/>
    <w:rsid w:val="00682F47"/>
    <w:rsid w:val="00685BEC"/>
    <w:rsid w:val="00692243"/>
    <w:rsid w:val="006946DD"/>
    <w:rsid w:val="006948BE"/>
    <w:rsid w:val="006A65FF"/>
    <w:rsid w:val="006B0F07"/>
    <w:rsid w:val="006B7D80"/>
    <w:rsid w:val="006E06F2"/>
    <w:rsid w:val="006E18A9"/>
    <w:rsid w:val="006F0BE9"/>
    <w:rsid w:val="0073068E"/>
    <w:rsid w:val="00734B0D"/>
    <w:rsid w:val="00744BE7"/>
    <w:rsid w:val="00761658"/>
    <w:rsid w:val="00792098"/>
    <w:rsid w:val="007A4C39"/>
    <w:rsid w:val="007A584A"/>
    <w:rsid w:val="007B24BB"/>
    <w:rsid w:val="007C0C2A"/>
    <w:rsid w:val="007E69B4"/>
    <w:rsid w:val="007F5491"/>
    <w:rsid w:val="0081060B"/>
    <w:rsid w:val="0081780E"/>
    <w:rsid w:val="00837267"/>
    <w:rsid w:val="008461CE"/>
    <w:rsid w:val="0085061A"/>
    <w:rsid w:val="00856F56"/>
    <w:rsid w:val="00860768"/>
    <w:rsid w:val="00860803"/>
    <w:rsid w:val="00890269"/>
    <w:rsid w:val="0089092B"/>
    <w:rsid w:val="00890C7F"/>
    <w:rsid w:val="00892A65"/>
    <w:rsid w:val="00897D6C"/>
    <w:rsid w:val="008D02FF"/>
    <w:rsid w:val="008D555A"/>
    <w:rsid w:val="008E2533"/>
    <w:rsid w:val="00912374"/>
    <w:rsid w:val="0097021F"/>
    <w:rsid w:val="00972998"/>
    <w:rsid w:val="009860D5"/>
    <w:rsid w:val="009A5D2E"/>
    <w:rsid w:val="009A6B56"/>
    <w:rsid w:val="009C14B2"/>
    <w:rsid w:val="009D5E0C"/>
    <w:rsid w:val="009D64B6"/>
    <w:rsid w:val="009E75EB"/>
    <w:rsid w:val="009F0E1C"/>
    <w:rsid w:val="009F4110"/>
    <w:rsid w:val="009F59A3"/>
    <w:rsid w:val="00A362EE"/>
    <w:rsid w:val="00A72390"/>
    <w:rsid w:val="00A80553"/>
    <w:rsid w:val="00A94E66"/>
    <w:rsid w:val="00AB13A2"/>
    <w:rsid w:val="00AB4F07"/>
    <w:rsid w:val="00AC11E3"/>
    <w:rsid w:val="00AD2C3C"/>
    <w:rsid w:val="00AD417A"/>
    <w:rsid w:val="00AE2635"/>
    <w:rsid w:val="00B16AD6"/>
    <w:rsid w:val="00B54DD8"/>
    <w:rsid w:val="00B54E14"/>
    <w:rsid w:val="00B80125"/>
    <w:rsid w:val="00B9161F"/>
    <w:rsid w:val="00BA5411"/>
    <w:rsid w:val="00BC75C0"/>
    <w:rsid w:val="00BD4366"/>
    <w:rsid w:val="00BF699B"/>
    <w:rsid w:val="00C113F5"/>
    <w:rsid w:val="00C41D51"/>
    <w:rsid w:val="00C44605"/>
    <w:rsid w:val="00C50C1A"/>
    <w:rsid w:val="00C57EAC"/>
    <w:rsid w:val="00C60B4C"/>
    <w:rsid w:val="00C67406"/>
    <w:rsid w:val="00CB4650"/>
    <w:rsid w:val="00CC2F64"/>
    <w:rsid w:val="00CD45D2"/>
    <w:rsid w:val="00CE5D85"/>
    <w:rsid w:val="00D04623"/>
    <w:rsid w:val="00D23C53"/>
    <w:rsid w:val="00D36534"/>
    <w:rsid w:val="00D4396F"/>
    <w:rsid w:val="00D4720F"/>
    <w:rsid w:val="00D47D41"/>
    <w:rsid w:val="00D65DBF"/>
    <w:rsid w:val="00D67607"/>
    <w:rsid w:val="00D71396"/>
    <w:rsid w:val="00D84F8F"/>
    <w:rsid w:val="00D929B0"/>
    <w:rsid w:val="00D94C03"/>
    <w:rsid w:val="00DB76B3"/>
    <w:rsid w:val="00DD7470"/>
    <w:rsid w:val="00DE4C0E"/>
    <w:rsid w:val="00DF5D68"/>
    <w:rsid w:val="00E10DE5"/>
    <w:rsid w:val="00E166FE"/>
    <w:rsid w:val="00E227EE"/>
    <w:rsid w:val="00E37AFB"/>
    <w:rsid w:val="00E564E3"/>
    <w:rsid w:val="00E67A3D"/>
    <w:rsid w:val="00E71DB5"/>
    <w:rsid w:val="00E720FF"/>
    <w:rsid w:val="00EB249E"/>
    <w:rsid w:val="00EB7E4F"/>
    <w:rsid w:val="00F02466"/>
    <w:rsid w:val="00F23FC8"/>
    <w:rsid w:val="00F35C8C"/>
    <w:rsid w:val="00F43D4D"/>
    <w:rsid w:val="00F57A6F"/>
    <w:rsid w:val="00FA308D"/>
    <w:rsid w:val="00FA3170"/>
    <w:rsid w:val="00FB059B"/>
    <w:rsid w:val="00FC253B"/>
    <w:rsid w:val="00FC3580"/>
    <w:rsid w:val="00FC5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DE3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69"/>
    <w:rPr>
      <w:rFonts w:ascii="Times New Roman" w:hAnsi="Times New Roman"/>
    </w:rPr>
  </w:style>
  <w:style w:type="paragraph" w:styleId="Heading1">
    <w:name w:val="heading 1"/>
    <w:basedOn w:val="Normal"/>
    <w:next w:val="Normal"/>
    <w:link w:val="Heading1Char"/>
    <w:uiPriority w:val="9"/>
    <w:qFormat/>
    <w:rsid w:val="000D6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6818"/>
    <w:pPr>
      <w:keepNext/>
      <w:keepLines/>
      <w:spacing w:before="200" w:line="480" w:lineRule="auto"/>
      <w:ind w:left="576" w:hanging="576"/>
      <w:outlineLvl w:val="1"/>
    </w:pPr>
    <w:rPr>
      <w:rFonts w:ascii="Arial" w:eastAsiaTheme="majorEastAsia" w:hAnsi="Arial" w:cstheme="majorBidi"/>
      <w:bCs/>
      <w:i/>
      <w:sz w:val="26"/>
      <w:szCs w:val="26"/>
    </w:rPr>
  </w:style>
  <w:style w:type="paragraph" w:styleId="Heading3">
    <w:name w:val="heading 3"/>
    <w:basedOn w:val="Normal"/>
    <w:next w:val="Normal"/>
    <w:link w:val="Heading3Char"/>
    <w:uiPriority w:val="9"/>
    <w:unhideWhenUsed/>
    <w:qFormat/>
    <w:rsid w:val="002B785A"/>
    <w:pPr>
      <w:keepNext/>
      <w:keepLines/>
      <w:spacing w:before="200" w:line="480" w:lineRule="auto"/>
      <w:ind w:left="720" w:hanging="720"/>
      <w:outlineLvl w:val="2"/>
    </w:pPr>
    <w:rPr>
      <w:rFonts w:ascii="Arial" w:eastAsiaTheme="majorEastAsia" w:hAnsi="Arial" w:cstheme="majorBidi"/>
      <w:bCs/>
      <w:i/>
      <w:sz w:val="26"/>
      <w:szCs w:val="26"/>
      <w:u w:val="single"/>
    </w:rPr>
  </w:style>
  <w:style w:type="paragraph" w:styleId="Heading4">
    <w:name w:val="heading 4"/>
    <w:basedOn w:val="Normal"/>
    <w:next w:val="Normal"/>
    <w:link w:val="Heading4Char"/>
    <w:uiPriority w:val="9"/>
    <w:semiHidden/>
    <w:unhideWhenUsed/>
    <w:qFormat/>
    <w:rsid w:val="000D6818"/>
    <w:pPr>
      <w:keepNext/>
      <w:keepLines/>
      <w:spacing w:before="200" w:line="480" w:lineRule="auto"/>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6818"/>
    <w:pPr>
      <w:keepNext/>
      <w:keepLines/>
      <w:spacing w:before="200" w:line="480" w:lineRule="auto"/>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6818"/>
    <w:pPr>
      <w:keepNext/>
      <w:keepLines/>
      <w:spacing w:before="200" w:line="480" w:lineRule="auto"/>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6818"/>
    <w:pPr>
      <w:keepNext/>
      <w:keepLines/>
      <w:spacing w:before="200" w:line="480"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6818"/>
    <w:pPr>
      <w:keepNext/>
      <w:keepLines/>
      <w:spacing w:before="200" w:line="48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6818"/>
    <w:pPr>
      <w:keepNext/>
      <w:keepLines/>
      <w:spacing w:before="200" w:line="48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1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12E"/>
    <w:rPr>
      <w:rFonts w:ascii="Lucida Grande" w:hAnsi="Lucida Grande" w:cs="Lucida Grande"/>
      <w:sz w:val="18"/>
      <w:szCs w:val="18"/>
    </w:rPr>
  </w:style>
  <w:style w:type="paragraph" w:styleId="Title">
    <w:name w:val="Title"/>
    <w:basedOn w:val="Normal"/>
    <w:next w:val="Normal"/>
    <w:link w:val="TitleChar"/>
    <w:uiPriority w:val="10"/>
    <w:qFormat/>
    <w:rsid w:val="00017629"/>
    <w:pPr>
      <w:spacing w:after="300"/>
      <w:contextualSpacing/>
    </w:pPr>
    <w:rPr>
      <w:rFonts w:ascii="Arial" w:eastAsiaTheme="majorEastAsia" w:hAnsi="Arial"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017629"/>
    <w:rPr>
      <w:rFonts w:ascii="Arial" w:eastAsiaTheme="majorEastAsia" w:hAnsi="Arial" w:cstheme="majorBidi"/>
      <w:b/>
      <w:color w:val="17365D" w:themeColor="text2" w:themeShade="BF"/>
      <w:spacing w:val="5"/>
      <w:kern w:val="28"/>
      <w:sz w:val="28"/>
      <w:szCs w:val="52"/>
    </w:rPr>
  </w:style>
  <w:style w:type="character" w:customStyle="1" w:styleId="Heading1Char">
    <w:name w:val="Heading 1 Char"/>
    <w:basedOn w:val="DefaultParagraphFont"/>
    <w:link w:val="Heading1"/>
    <w:uiPriority w:val="9"/>
    <w:rsid w:val="000D68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D6818"/>
    <w:rPr>
      <w:rFonts w:ascii="Arial" w:eastAsiaTheme="majorEastAsia" w:hAnsi="Arial" w:cstheme="majorBidi"/>
      <w:bCs/>
      <w:i/>
      <w:sz w:val="26"/>
      <w:szCs w:val="26"/>
    </w:rPr>
  </w:style>
  <w:style w:type="character" w:customStyle="1" w:styleId="Heading3Char">
    <w:name w:val="Heading 3 Char"/>
    <w:basedOn w:val="DefaultParagraphFont"/>
    <w:link w:val="Heading3"/>
    <w:uiPriority w:val="9"/>
    <w:rsid w:val="002B785A"/>
    <w:rPr>
      <w:rFonts w:ascii="Arial" w:eastAsiaTheme="majorEastAsia" w:hAnsi="Arial" w:cstheme="majorBidi"/>
      <w:bCs/>
      <w:i/>
      <w:sz w:val="26"/>
      <w:szCs w:val="26"/>
      <w:u w:val="single"/>
    </w:rPr>
  </w:style>
  <w:style w:type="character" w:customStyle="1" w:styleId="Heading4Char">
    <w:name w:val="Heading 4 Char"/>
    <w:basedOn w:val="DefaultParagraphFont"/>
    <w:link w:val="Heading4"/>
    <w:uiPriority w:val="9"/>
    <w:semiHidden/>
    <w:rsid w:val="000D68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68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68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68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68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D681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D6818"/>
    <w:pPr>
      <w:ind w:left="720"/>
      <w:contextualSpacing/>
    </w:pPr>
  </w:style>
  <w:style w:type="paragraph" w:styleId="Header">
    <w:name w:val="header"/>
    <w:basedOn w:val="Normal"/>
    <w:link w:val="HeaderChar"/>
    <w:uiPriority w:val="99"/>
    <w:unhideWhenUsed/>
    <w:rsid w:val="00FC3580"/>
    <w:pPr>
      <w:tabs>
        <w:tab w:val="center" w:pos="4320"/>
        <w:tab w:val="right" w:pos="8640"/>
      </w:tabs>
    </w:pPr>
  </w:style>
  <w:style w:type="character" w:customStyle="1" w:styleId="HeaderChar">
    <w:name w:val="Header Char"/>
    <w:basedOn w:val="DefaultParagraphFont"/>
    <w:link w:val="Header"/>
    <w:uiPriority w:val="99"/>
    <w:rsid w:val="00FC3580"/>
  </w:style>
  <w:style w:type="paragraph" w:styleId="Footer">
    <w:name w:val="footer"/>
    <w:basedOn w:val="Normal"/>
    <w:link w:val="FooterChar"/>
    <w:uiPriority w:val="99"/>
    <w:unhideWhenUsed/>
    <w:rsid w:val="00FC3580"/>
    <w:pPr>
      <w:tabs>
        <w:tab w:val="center" w:pos="4320"/>
        <w:tab w:val="right" w:pos="8640"/>
      </w:tabs>
    </w:pPr>
  </w:style>
  <w:style w:type="character" w:customStyle="1" w:styleId="FooterChar">
    <w:name w:val="Footer Char"/>
    <w:basedOn w:val="DefaultParagraphFont"/>
    <w:link w:val="Footer"/>
    <w:uiPriority w:val="99"/>
    <w:rsid w:val="00FC3580"/>
  </w:style>
  <w:style w:type="character" w:styleId="PageNumber">
    <w:name w:val="page number"/>
    <w:basedOn w:val="DefaultParagraphFont"/>
    <w:uiPriority w:val="99"/>
    <w:semiHidden/>
    <w:unhideWhenUsed/>
    <w:rsid w:val="00FC3580"/>
  </w:style>
  <w:style w:type="paragraph" w:styleId="Caption">
    <w:name w:val="caption"/>
    <w:basedOn w:val="Normal"/>
    <w:next w:val="Normal"/>
    <w:uiPriority w:val="35"/>
    <w:unhideWhenUsed/>
    <w:qFormat/>
    <w:rsid w:val="001740D4"/>
    <w:pPr>
      <w:spacing w:after="200" w:line="480" w:lineRule="auto"/>
    </w:pPr>
    <w:rPr>
      <w:bCs/>
      <w:szCs w:val="18"/>
    </w:rPr>
  </w:style>
  <w:style w:type="character" w:styleId="CommentReference">
    <w:name w:val="annotation reference"/>
    <w:basedOn w:val="DefaultParagraphFont"/>
    <w:uiPriority w:val="99"/>
    <w:semiHidden/>
    <w:unhideWhenUsed/>
    <w:rsid w:val="00972998"/>
    <w:rPr>
      <w:sz w:val="18"/>
      <w:szCs w:val="18"/>
    </w:rPr>
  </w:style>
  <w:style w:type="paragraph" w:styleId="CommentText">
    <w:name w:val="annotation text"/>
    <w:basedOn w:val="Normal"/>
    <w:link w:val="CommentTextChar"/>
    <w:uiPriority w:val="99"/>
    <w:semiHidden/>
    <w:unhideWhenUsed/>
    <w:rsid w:val="00972998"/>
  </w:style>
  <w:style w:type="character" w:customStyle="1" w:styleId="CommentTextChar">
    <w:name w:val="Comment Text Char"/>
    <w:basedOn w:val="DefaultParagraphFont"/>
    <w:link w:val="CommentText"/>
    <w:uiPriority w:val="99"/>
    <w:semiHidden/>
    <w:rsid w:val="00972998"/>
  </w:style>
  <w:style w:type="paragraph" w:styleId="CommentSubject">
    <w:name w:val="annotation subject"/>
    <w:basedOn w:val="CommentText"/>
    <w:next w:val="CommentText"/>
    <w:link w:val="CommentSubjectChar"/>
    <w:uiPriority w:val="99"/>
    <w:semiHidden/>
    <w:unhideWhenUsed/>
    <w:rsid w:val="00972998"/>
    <w:rPr>
      <w:b/>
      <w:bCs/>
      <w:sz w:val="20"/>
      <w:szCs w:val="20"/>
    </w:rPr>
  </w:style>
  <w:style w:type="character" w:customStyle="1" w:styleId="CommentSubjectChar">
    <w:name w:val="Comment Subject Char"/>
    <w:basedOn w:val="CommentTextChar"/>
    <w:link w:val="CommentSubject"/>
    <w:uiPriority w:val="99"/>
    <w:semiHidden/>
    <w:rsid w:val="00972998"/>
    <w:rPr>
      <w:b/>
      <w:bCs/>
      <w:sz w:val="20"/>
      <w:szCs w:val="20"/>
    </w:rPr>
  </w:style>
  <w:style w:type="character" w:styleId="LineNumber">
    <w:name w:val="line number"/>
    <w:basedOn w:val="DefaultParagraphFont"/>
    <w:uiPriority w:val="99"/>
    <w:semiHidden/>
    <w:unhideWhenUsed/>
    <w:rsid w:val="009F0E1C"/>
  </w:style>
  <w:style w:type="paragraph" w:styleId="FootnoteText">
    <w:name w:val="footnote text"/>
    <w:basedOn w:val="Normal"/>
    <w:link w:val="FootnoteTextChar"/>
    <w:uiPriority w:val="99"/>
    <w:unhideWhenUsed/>
    <w:rsid w:val="00C50C1A"/>
  </w:style>
  <w:style w:type="character" w:customStyle="1" w:styleId="FootnoteTextChar">
    <w:name w:val="Footnote Text Char"/>
    <w:basedOn w:val="DefaultParagraphFont"/>
    <w:link w:val="FootnoteText"/>
    <w:uiPriority w:val="99"/>
    <w:rsid w:val="00C50C1A"/>
    <w:rPr>
      <w:rFonts w:ascii="Times New Roman" w:hAnsi="Times New Roman"/>
    </w:rPr>
  </w:style>
  <w:style w:type="character" w:styleId="FootnoteReference">
    <w:name w:val="footnote reference"/>
    <w:basedOn w:val="DefaultParagraphFont"/>
    <w:uiPriority w:val="99"/>
    <w:unhideWhenUsed/>
    <w:rsid w:val="00C50C1A"/>
    <w:rPr>
      <w:vertAlign w:val="superscript"/>
    </w:rPr>
  </w:style>
  <w:style w:type="table" w:styleId="TableGrid">
    <w:name w:val="Table Grid"/>
    <w:basedOn w:val="TableNormal"/>
    <w:uiPriority w:val="59"/>
    <w:rsid w:val="008E2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269"/>
    <w:rPr>
      <w:rFonts w:ascii="Times New Roman" w:hAnsi="Times New Roman"/>
    </w:rPr>
  </w:style>
  <w:style w:type="paragraph" w:styleId="Heading1">
    <w:name w:val="heading 1"/>
    <w:basedOn w:val="Normal"/>
    <w:next w:val="Normal"/>
    <w:link w:val="Heading1Char"/>
    <w:uiPriority w:val="9"/>
    <w:qFormat/>
    <w:rsid w:val="000D6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D6818"/>
    <w:pPr>
      <w:keepNext/>
      <w:keepLines/>
      <w:spacing w:before="200" w:line="480" w:lineRule="auto"/>
      <w:ind w:left="576" w:hanging="576"/>
      <w:outlineLvl w:val="1"/>
    </w:pPr>
    <w:rPr>
      <w:rFonts w:ascii="Arial" w:eastAsiaTheme="majorEastAsia" w:hAnsi="Arial" w:cstheme="majorBidi"/>
      <w:bCs/>
      <w:i/>
      <w:sz w:val="26"/>
      <w:szCs w:val="26"/>
    </w:rPr>
  </w:style>
  <w:style w:type="paragraph" w:styleId="Heading3">
    <w:name w:val="heading 3"/>
    <w:basedOn w:val="Normal"/>
    <w:next w:val="Normal"/>
    <w:link w:val="Heading3Char"/>
    <w:uiPriority w:val="9"/>
    <w:unhideWhenUsed/>
    <w:qFormat/>
    <w:rsid w:val="002B785A"/>
    <w:pPr>
      <w:keepNext/>
      <w:keepLines/>
      <w:spacing w:before="200" w:line="480" w:lineRule="auto"/>
      <w:ind w:left="720" w:hanging="720"/>
      <w:outlineLvl w:val="2"/>
    </w:pPr>
    <w:rPr>
      <w:rFonts w:ascii="Arial" w:eastAsiaTheme="majorEastAsia" w:hAnsi="Arial" w:cstheme="majorBidi"/>
      <w:bCs/>
      <w:i/>
      <w:sz w:val="26"/>
      <w:szCs w:val="26"/>
      <w:u w:val="single"/>
    </w:rPr>
  </w:style>
  <w:style w:type="paragraph" w:styleId="Heading4">
    <w:name w:val="heading 4"/>
    <w:basedOn w:val="Normal"/>
    <w:next w:val="Normal"/>
    <w:link w:val="Heading4Char"/>
    <w:uiPriority w:val="9"/>
    <w:semiHidden/>
    <w:unhideWhenUsed/>
    <w:qFormat/>
    <w:rsid w:val="000D6818"/>
    <w:pPr>
      <w:keepNext/>
      <w:keepLines/>
      <w:spacing w:before="200" w:line="480" w:lineRule="auto"/>
      <w:ind w:left="864" w:hanging="864"/>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D6818"/>
    <w:pPr>
      <w:keepNext/>
      <w:keepLines/>
      <w:spacing w:before="200" w:line="480" w:lineRule="auto"/>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D6818"/>
    <w:pPr>
      <w:keepNext/>
      <w:keepLines/>
      <w:spacing w:before="200" w:line="480" w:lineRule="auto"/>
      <w:ind w:left="1152" w:hanging="1152"/>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D6818"/>
    <w:pPr>
      <w:keepNext/>
      <w:keepLines/>
      <w:spacing w:before="200" w:line="480"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D6818"/>
    <w:pPr>
      <w:keepNext/>
      <w:keepLines/>
      <w:spacing w:before="200" w:line="480"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D6818"/>
    <w:pPr>
      <w:keepNext/>
      <w:keepLines/>
      <w:spacing w:before="200" w:line="480"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1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612E"/>
    <w:rPr>
      <w:rFonts w:ascii="Lucida Grande" w:hAnsi="Lucida Grande" w:cs="Lucida Grande"/>
      <w:sz w:val="18"/>
      <w:szCs w:val="18"/>
    </w:rPr>
  </w:style>
  <w:style w:type="paragraph" w:styleId="Title">
    <w:name w:val="Title"/>
    <w:basedOn w:val="Normal"/>
    <w:next w:val="Normal"/>
    <w:link w:val="TitleChar"/>
    <w:uiPriority w:val="10"/>
    <w:qFormat/>
    <w:rsid w:val="00017629"/>
    <w:pPr>
      <w:spacing w:after="300"/>
      <w:contextualSpacing/>
    </w:pPr>
    <w:rPr>
      <w:rFonts w:ascii="Arial" w:eastAsiaTheme="majorEastAsia" w:hAnsi="Arial" w:cstheme="majorBidi"/>
      <w:b/>
      <w:color w:val="17365D" w:themeColor="text2" w:themeShade="BF"/>
      <w:spacing w:val="5"/>
      <w:kern w:val="28"/>
      <w:sz w:val="28"/>
      <w:szCs w:val="52"/>
    </w:rPr>
  </w:style>
  <w:style w:type="character" w:customStyle="1" w:styleId="TitleChar">
    <w:name w:val="Title Char"/>
    <w:basedOn w:val="DefaultParagraphFont"/>
    <w:link w:val="Title"/>
    <w:uiPriority w:val="10"/>
    <w:rsid w:val="00017629"/>
    <w:rPr>
      <w:rFonts w:ascii="Arial" w:eastAsiaTheme="majorEastAsia" w:hAnsi="Arial" w:cstheme="majorBidi"/>
      <w:b/>
      <w:color w:val="17365D" w:themeColor="text2" w:themeShade="BF"/>
      <w:spacing w:val="5"/>
      <w:kern w:val="28"/>
      <w:sz w:val="28"/>
      <w:szCs w:val="52"/>
    </w:rPr>
  </w:style>
  <w:style w:type="character" w:customStyle="1" w:styleId="Heading1Char">
    <w:name w:val="Heading 1 Char"/>
    <w:basedOn w:val="DefaultParagraphFont"/>
    <w:link w:val="Heading1"/>
    <w:uiPriority w:val="9"/>
    <w:rsid w:val="000D68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D6818"/>
    <w:rPr>
      <w:rFonts w:ascii="Arial" w:eastAsiaTheme="majorEastAsia" w:hAnsi="Arial" w:cstheme="majorBidi"/>
      <w:bCs/>
      <w:i/>
      <w:sz w:val="26"/>
      <w:szCs w:val="26"/>
    </w:rPr>
  </w:style>
  <w:style w:type="character" w:customStyle="1" w:styleId="Heading3Char">
    <w:name w:val="Heading 3 Char"/>
    <w:basedOn w:val="DefaultParagraphFont"/>
    <w:link w:val="Heading3"/>
    <w:uiPriority w:val="9"/>
    <w:rsid w:val="002B785A"/>
    <w:rPr>
      <w:rFonts w:ascii="Arial" w:eastAsiaTheme="majorEastAsia" w:hAnsi="Arial" w:cstheme="majorBidi"/>
      <w:bCs/>
      <w:i/>
      <w:sz w:val="26"/>
      <w:szCs w:val="26"/>
      <w:u w:val="single"/>
    </w:rPr>
  </w:style>
  <w:style w:type="character" w:customStyle="1" w:styleId="Heading4Char">
    <w:name w:val="Heading 4 Char"/>
    <w:basedOn w:val="DefaultParagraphFont"/>
    <w:link w:val="Heading4"/>
    <w:uiPriority w:val="9"/>
    <w:semiHidden/>
    <w:rsid w:val="000D68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D68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D68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D68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D68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D681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D6818"/>
    <w:pPr>
      <w:ind w:left="720"/>
      <w:contextualSpacing/>
    </w:pPr>
  </w:style>
  <w:style w:type="paragraph" w:styleId="Header">
    <w:name w:val="header"/>
    <w:basedOn w:val="Normal"/>
    <w:link w:val="HeaderChar"/>
    <w:uiPriority w:val="99"/>
    <w:unhideWhenUsed/>
    <w:rsid w:val="00FC3580"/>
    <w:pPr>
      <w:tabs>
        <w:tab w:val="center" w:pos="4320"/>
        <w:tab w:val="right" w:pos="8640"/>
      </w:tabs>
    </w:pPr>
  </w:style>
  <w:style w:type="character" w:customStyle="1" w:styleId="HeaderChar">
    <w:name w:val="Header Char"/>
    <w:basedOn w:val="DefaultParagraphFont"/>
    <w:link w:val="Header"/>
    <w:uiPriority w:val="99"/>
    <w:rsid w:val="00FC3580"/>
  </w:style>
  <w:style w:type="paragraph" w:styleId="Footer">
    <w:name w:val="footer"/>
    <w:basedOn w:val="Normal"/>
    <w:link w:val="FooterChar"/>
    <w:uiPriority w:val="99"/>
    <w:unhideWhenUsed/>
    <w:rsid w:val="00FC3580"/>
    <w:pPr>
      <w:tabs>
        <w:tab w:val="center" w:pos="4320"/>
        <w:tab w:val="right" w:pos="8640"/>
      </w:tabs>
    </w:pPr>
  </w:style>
  <w:style w:type="character" w:customStyle="1" w:styleId="FooterChar">
    <w:name w:val="Footer Char"/>
    <w:basedOn w:val="DefaultParagraphFont"/>
    <w:link w:val="Footer"/>
    <w:uiPriority w:val="99"/>
    <w:rsid w:val="00FC3580"/>
  </w:style>
  <w:style w:type="character" w:styleId="PageNumber">
    <w:name w:val="page number"/>
    <w:basedOn w:val="DefaultParagraphFont"/>
    <w:uiPriority w:val="99"/>
    <w:semiHidden/>
    <w:unhideWhenUsed/>
    <w:rsid w:val="00FC3580"/>
  </w:style>
  <w:style w:type="paragraph" w:styleId="Caption">
    <w:name w:val="caption"/>
    <w:basedOn w:val="Normal"/>
    <w:next w:val="Normal"/>
    <w:uiPriority w:val="35"/>
    <w:unhideWhenUsed/>
    <w:qFormat/>
    <w:rsid w:val="001740D4"/>
    <w:pPr>
      <w:spacing w:after="200" w:line="480" w:lineRule="auto"/>
    </w:pPr>
    <w:rPr>
      <w:bCs/>
      <w:szCs w:val="18"/>
    </w:rPr>
  </w:style>
  <w:style w:type="character" w:styleId="CommentReference">
    <w:name w:val="annotation reference"/>
    <w:basedOn w:val="DefaultParagraphFont"/>
    <w:uiPriority w:val="99"/>
    <w:semiHidden/>
    <w:unhideWhenUsed/>
    <w:rsid w:val="00972998"/>
    <w:rPr>
      <w:sz w:val="18"/>
      <w:szCs w:val="18"/>
    </w:rPr>
  </w:style>
  <w:style w:type="paragraph" w:styleId="CommentText">
    <w:name w:val="annotation text"/>
    <w:basedOn w:val="Normal"/>
    <w:link w:val="CommentTextChar"/>
    <w:uiPriority w:val="99"/>
    <w:semiHidden/>
    <w:unhideWhenUsed/>
    <w:rsid w:val="00972998"/>
  </w:style>
  <w:style w:type="character" w:customStyle="1" w:styleId="CommentTextChar">
    <w:name w:val="Comment Text Char"/>
    <w:basedOn w:val="DefaultParagraphFont"/>
    <w:link w:val="CommentText"/>
    <w:uiPriority w:val="99"/>
    <w:semiHidden/>
    <w:rsid w:val="00972998"/>
  </w:style>
  <w:style w:type="paragraph" w:styleId="CommentSubject">
    <w:name w:val="annotation subject"/>
    <w:basedOn w:val="CommentText"/>
    <w:next w:val="CommentText"/>
    <w:link w:val="CommentSubjectChar"/>
    <w:uiPriority w:val="99"/>
    <w:semiHidden/>
    <w:unhideWhenUsed/>
    <w:rsid w:val="00972998"/>
    <w:rPr>
      <w:b/>
      <w:bCs/>
      <w:sz w:val="20"/>
      <w:szCs w:val="20"/>
    </w:rPr>
  </w:style>
  <w:style w:type="character" w:customStyle="1" w:styleId="CommentSubjectChar">
    <w:name w:val="Comment Subject Char"/>
    <w:basedOn w:val="CommentTextChar"/>
    <w:link w:val="CommentSubject"/>
    <w:uiPriority w:val="99"/>
    <w:semiHidden/>
    <w:rsid w:val="00972998"/>
    <w:rPr>
      <w:b/>
      <w:bCs/>
      <w:sz w:val="20"/>
      <w:szCs w:val="20"/>
    </w:rPr>
  </w:style>
  <w:style w:type="character" w:styleId="LineNumber">
    <w:name w:val="line number"/>
    <w:basedOn w:val="DefaultParagraphFont"/>
    <w:uiPriority w:val="99"/>
    <w:semiHidden/>
    <w:unhideWhenUsed/>
    <w:rsid w:val="009F0E1C"/>
  </w:style>
  <w:style w:type="paragraph" w:styleId="FootnoteText">
    <w:name w:val="footnote text"/>
    <w:basedOn w:val="Normal"/>
    <w:link w:val="FootnoteTextChar"/>
    <w:uiPriority w:val="99"/>
    <w:unhideWhenUsed/>
    <w:rsid w:val="00C50C1A"/>
  </w:style>
  <w:style w:type="character" w:customStyle="1" w:styleId="FootnoteTextChar">
    <w:name w:val="Footnote Text Char"/>
    <w:basedOn w:val="DefaultParagraphFont"/>
    <w:link w:val="FootnoteText"/>
    <w:uiPriority w:val="99"/>
    <w:rsid w:val="00C50C1A"/>
    <w:rPr>
      <w:rFonts w:ascii="Times New Roman" w:hAnsi="Times New Roman"/>
    </w:rPr>
  </w:style>
  <w:style w:type="character" w:styleId="FootnoteReference">
    <w:name w:val="footnote reference"/>
    <w:basedOn w:val="DefaultParagraphFont"/>
    <w:uiPriority w:val="99"/>
    <w:unhideWhenUsed/>
    <w:rsid w:val="00C50C1A"/>
    <w:rPr>
      <w:vertAlign w:val="superscript"/>
    </w:rPr>
  </w:style>
  <w:style w:type="table" w:styleId="TableGrid">
    <w:name w:val="Table Grid"/>
    <w:basedOn w:val="TableNormal"/>
    <w:uiPriority w:val="59"/>
    <w:rsid w:val="008E2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header" Target="header2.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CF952-AB8F-B345-81FB-C4AD1A9B8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8466</Words>
  <Characters>48258</Characters>
  <Application>Microsoft Macintosh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56611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Peacock</dc:creator>
  <cp:lastModifiedBy>Stephanie Peacock</cp:lastModifiedBy>
  <cp:revision>9</cp:revision>
  <dcterms:created xsi:type="dcterms:W3CDTF">2016-03-09T00:19:00Z</dcterms:created>
  <dcterms:modified xsi:type="dcterms:W3CDTF">2016-03-14T21:43:00Z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bat3man@gmail.com@www.mendeley.com</vt:lpwstr>
  </property>
  <property fmtid="{D5CDD505-2E9C-101B-9397-08002B2CF9AE}" pid="4" name="Mendeley Citation Style_1">
    <vt:lpwstr>http://www.zotero.org/styles/canadian-journal-of-fisheries-and-aquatic-sciences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http://www.zotero.org/styles/canadian-journal-of-fisheries-and-aquatic-sciences</vt:lpwstr>
  </property>
  <property fmtid="{D5CDD505-2E9C-101B-9397-08002B2CF9AE}" pid="8" name="Mendeley Recent Style Name 1_1">
    <vt:lpwstr>Canadian Journal of Fisheries and Aquatic Sciences</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http://www.zotero.org/styles/journal-of-evolutionary-biology</vt:lpwstr>
  </property>
  <property fmtid="{D5CDD505-2E9C-101B-9397-08002B2CF9AE}" pid="14" name="Mendeley Recent Style Name 4_1">
    <vt:lpwstr>Journal of Evolutionary Biology</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7th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http://www.zotero.org/styles/proceedings-of-the-royal-society-b</vt:lpwstr>
  </property>
  <property fmtid="{D5CDD505-2E9C-101B-9397-08002B2CF9AE}" pid="22" name="Mendeley Recent Style Name 8_1">
    <vt:lpwstr>Proceedings of the Royal Society B</vt:lpwstr>
  </property>
  <property fmtid="{D5CDD505-2E9C-101B-9397-08002B2CF9AE}" pid="23" name="Mendeley Recent Style Id 9_1">
    <vt:lpwstr>http://www.zotero.org/styles/the-american-naturalist</vt:lpwstr>
  </property>
  <property fmtid="{D5CDD505-2E9C-101B-9397-08002B2CF9AE}" pid="24" name="Mendeley Recent Style Name 9_1">
    <vt:lpwstr>The American Naturalist</vt:lpwstr>
  </property>
</Properties>
</file>